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C3E" w:rsidRPr="00980C3E" w:rsidRDefault="00980C3E" w:rsidP="00980C3E">
      <w:pPr>
        <w:jc w:val="center"/>
        <w:rPr>
          <w:b/>
          <w:bCs/>
          <w:noProof/>
        </w:rPr>
      </w:pPr>
    </w:p>
    <w:p w:rsidR="00980C3E" w:rsidRPr="00980C3E" w:rsidRDefault="00980C3E" w:rsidP="00980C3E">
      <w:pPr>
        <w:jc w:val="center"/>
        <w:rPr>
          <w:b/>
          <w:bCs/>
          <w:noProof/>
        </w:rPr>
      </w:pPr>
    </w:p>
    <w:p w:rsidR="00980C3E" w:rsidRPr="00980C3E" w:rsidRDefault="00980C3E" w:rsidP="00980C3E">
      <w:pPr>
        <w:jc w:val="center"/>
        <w:rPr>
          <w:b/>
          <w:bCs/>
          <w:noProof/>
        </w:rPr>
      </w:pPr>
    </w:p>
    <w:p w:rsidR="00980C3E" w:rsidRPr="00980C3E" w:rsidRDefault="00980C3E" w:rsidP="00980C3E">
      <w:pPr>
        <w:jc w:val="center"/>
        <w:rPr>
          <w:b/>
          <w:bCs/>
          <w:noProof/>
        </w:rPr>
      </w:pPr>
    </w:p>
    <w:p w:rsidR="00980C3E" w:rsidRPr="00980C3E" w:rsidRDefault="00980C3E" w:rsidP="00980C3E">
      <w:pPr>
        <w:jc w:val="center"/>
        <w:rPr>
          <w:b/>
          <w:bCs/>
          <w:noProof/>
        </w:rPr>
      </w:pPr>
    </w:p>
    <w:p w:rsidR="00980C3E" w:rsidRPr="00980C3E" w:rsidRDefault="00980C3E" w:rsidP="00980C3E">
      <w:pPr>
        <w:jc w:val="center"/>
        <w:rPr>
          <w:b/>
          <w:bCs/>
          <w:noProof/>
        </w:rPr>
      </w:pPr>
    </w:p>
    <w:sdt>
      <w:sdtPr>
        <w:rPr>
          <w:b/>
          <w:bCs/>
          <w:noProof/>
        </w:rPr>
        <w:id w:val="-1063638190"/>
        <w:placeholder>
          <w:docPart w:val="AB4437C12668463386EEB78B8E32A429"/>
        </w:placeholder>
        <w:showingPlcHdr/>
        <w:text/>
      </w:sdtPr>
      <w:sdtEndPr/>
      <w:sdtContent>
        <w:p w:rsidR="00980C3E" w:rsidRPr="00980C3E" w:rsidRDefault="00980C3E" w:rsidP="00980C3E">
          <w:pPr>
            <w:jc w:val="center"/>
            <w:rPr>
              <w:b/>
              <w:bCs/>
              <w:noProof/>
            </w:rPr>
          </w:pPr>
          <w:r>
            <w:rPr>
              <w:b/>
            </w:rPr>
            <w:t xml:space="preserve">Nombre de la entidad </w:t>
          </w:r>
        </w:p>
      </w:sdtContent>
    </w:sdt>
    <w:p w:rsidR="00980C3E" w:rsidRPr="00980C3E" w:rsidRDefault="00980C3E" w:rsidP="00980C3E">
      <w:pPr>
        <w:jc w:val="center"/>
        <w:rPr>
          <w:b/>
          <w:bCs/>
          <w:noProof/>
        </w:rPr>
      </w:pPr>
    </w:p>
    <w:p w:rsidR="00980C3E" w:rsidRPr="00980C3E" w:rsidRDefault="00980C3E" w:rsidP="00980C3E">
      <w:pPr>
        <w:jc w:val="center"/>
        <w:rPr>
          <w:b/>
          <w:bCs/>
          <w:noProof/>
        </w:rPr>
      </w:pPr>
    </w:p>
    <w:p w:rsidR="00980C3E" w:rsidRPr="00980C3E" w:rsidRDefault="00980C3E" w:rsidP="00980C3E">
      <w:pPr>
        <w:jc w:val="center"/>
        <w:rPr>
          <w:b/>
          <w:bCs/>
          <w:noProof/>
        </w:rPr>
      </w:pPr>
    </w:p>
    <w:p w:rsidR="00980C3E" w:rsidRPr="00980C3E" w:rsidRDefault="00980C3E" w:rsidP="00980C3E">
      <w:pPr>
        <w:jc w:val="center"/>
        <w:rPr>
          <w:b/>
          <w:bCs/>
          <w:noProof/>
          <w:sz w:val="52"/>
          <w:szCs w:val="52"/>
        </w:rPr>
      </w:pPr>
      <w:r>
        <w:rPr>
          <w:b/>
          <w:sz w:val="52"/>
        </w:rPr>
        <w:t>911</w:t>
      </w:r>
    </w:p>
    <w:p w:rsidR="00980C3E" w:rsidRPr="00980C3E" w:rsidRDefault="00980C3E" w:rsidP="00980C3E">
      <w:pPr>
        <w:jc w:val="center"/>
        <w:rPr>
          <w:b/>
          <w:bCs/>
          <w:noProof/>
          <w:sz w:val="52"/>
          <w:szCs w:val="52"/>
        </w:rPr>
      </w:pPr>
      <w:r>
        <w:rPr>
          <w:b/>
          <w:sz w:val="52"/>
        </w:rPr>
        <w:t>Punto de Respuesta de Seguridad Pública/</w:t>
      </w:r>
    </w:p>
    <w:p w:rsidR="00980C3E" w:rsidRPr="00980C3E" w:rsidRDefault="00980C3E" w:rsidP="00980C3E">
      <w:pPr>
        <w:jc w:val="center"/>
        <w:rPr>
          <w:b/>
          <w:bCs/>
          <w:noProof/>
          <w:sz w:val="52"/>
          <w:szCs w:val="52"/>
        </w:rPr>
      </w:pPr>
      <w:r>
        <w:rPr>
          <w:b/>
          <w:sz w:val="52"/>
        </w:rPr>
        <w:t>Centro de Comunicaciones de Emergencia</w:t>
      </w:r>
    </w:p>
    <w:p w:rsidR="00980C3E" w:rsidRPr="00980C3E" w:rsidRDefault="00980C3E" w:rsidP="00980C3E">
      <w:pPr>
        <w:jc w:val="center"/>
        <w:rPr>
          <w:b/>
          <w:bCs/>
          <w:noProof/>
          <w:sz w:val="52"/>
          <w:szCs w:val="52"/>
        </w:rPr>
      </w:pPr>
    </w:p>
    <w:p w:rsidR="00980C3E" w:rsidRPr="00980C3E" w:rsidRDefault="00980C3E" w:rsidP="00980C3E">
      <w:pPr>
        <w:jc w:val="center"/>
        <w:rPr>
          <w:b/>
          <w:bCs/>
          <w:noProof/>
          <w:sz w:val="52"/>
          <w:szCs w:val="52"/>
        </w:rPr>
      </w:pPr>
      <w:r>
        <w:rPr>
          <w:b/>
          <w:sz w:val="52"/>
        </w:rPr>
        <w:t xml:space="preserve">Pandemia de COVID-19 </w:t>
      </w:r>
    </w:p>
    <w:p w:rsidR="00980C3E" w:rsidRPr="00980C3E" w:rsidRDefault="00980C3E" w:rsidP="00980C3E">
      <w:pPr>
        <w:jc w:val="center"/>
        <w:rPr>
          <w:b/>
          <w:bCs/>
          <w:noProof/>
          <w:sz w:val="52"/>
          <w:szCs w:val="52"/>
        </w:rPr>
      </w:pPr>
      <w:r>
        <w:rPr>
          <w:b/>
          <w:sz w:val="52"/>
        </w:rPr>
        <w:t xml:space="preserve">Plan de respuesta para la continuidad de las operaciones en caso de </w:t>
      </w:r>
    </w:p>
    <w:p w:rsidR="00980C3E" w:rsidRPr="00980C3E" w:rsidRDefault="00980C3E" w:rsidP="00980C3E">
      <w:pPr>
        <w:jc w:val="center"/>
        <w:rPr>
          <w:b/>
          <w:bCs/>
          <w:noProof/>
          <w:sz w:val="52"/>
          <w:szCs w:val="52"/>
        </w:rPr>
      </w:pPr>
      <w:proofErr w:type="gramStart"/>
      <w:r>
        <w:rPr>
          <w:b/>
          <w:sz w:val="52"/>
        </w:rPr>
        <w:t>resurgimiento</w:t>
      </w:r>
      <w:proofErr w:type="gramEnd"/>
      <w:r>
        <w:rPr>
          <w:b/>
          <w:sz w:val="52"/>
        </w:rPr>
        <w:t xml:space="preserve"> de la pandemia</w:t>
      </w:r>
    </w:p>
    <w:p w:rsidR="00980C3E" w:rsidRPr="00980C3E" w:rsidRDefault="00980C3E" w:rsidP="00980C3E">
      <w:pPr>
        <w:jc w:val="center"/>
        <w:rPr>
          <w:b/>
          <w:bCs/>
          <w:noProof/>
        </w:rPr>
      </w:pPr>
    </w:p>
    <w:p w:rsidR="00980C3E" w:rsidRPr="00980C3E" w:rsidRDefault="00980C3E" w:rsidP="00980C3E">
      <w:pPr>
        <w:jc w:val="center"/>
        <w:rPr>
          <w:b/>
          <w:bCs/>
          <w:noProof/>
          <w:color w:val="707474" w:themeColor="background2" w:themeShade="80"/>
          <w:sz w:val="48"/>
          <w:szCs w:val="48"/>
        </w:rPr>
      </w:pPr>
      <w:r>
        <w:rPr>
          <w:b/>
          <w:color w:val="707474" w:themeColor="background2" w:themeShade="80"/>
          <w:sz w:val="48"/>
        </w:rPr>
        <w:t>[Esquema]</w:t>
      </w:r>
    </w:p>
    <w:p w:rsidR="00980C3E" w:rsidRPr="00980C3E" w:rsidRDefault="00980C3E" w:rsidP="00980C3E">
      <w:pPr>
        <w:jc w:val="center"/>
        <w:rPr>
          <w:b/>
          <w:bCs/>
          <w:noProof/>
        </w:rPr>
      </w:pPr>
    </w:p>
    <w:p w:rsidR="00980C3E" w:rsidRPr="00980C3E" w:rsidRDefault="00980C3E" w:rsidP="00980C3E">
      <w:pPr>
        <w:jc w:val="center"/>
        <w:rPr>
          <w:b/>
          <w:noProof/>
        </w:rPr>
      </w:pPr>
    </w:p>
    <w:p w:rsidR="00980C3E" w:rsidRPr="00980C3E" w:rsidRDefault="00980C3E" w:rsidP="00980C3E">
      <w:pPr>
        <w:jc w:val="center"/>
        <w:rPr>
          <w:b/>
          <w:noProof/>
        </w:rPr>
      </w:pPr>
    </w:p>
    <w:p w:rsidR="00980C3E" w:rsidRPr="00980C3E" w:rsidRDefault="00980C3E" w:rsidP="00980C3E">
      <w:pPr>
        <w:jc w:val="center"/>
        <w:rPr>
          <w:b/>
          <w:noProof/>
        </w:rPr>
      </w:pPr>
    </w:p>
    <w:p w:rsidR="00980C3E" w:rsidRPr="00980C3E" w:rsidRDefault="00980C3E" w:rsidP="00980C3E">
      <w:pPr>
        <w:jc w:val="center"/>
        <w:rPr>
          <w:noProof/>
        </w:rPr>
      </w:pPr>
      <w:r>
        <w:br w:type="page"/>
      </w:r>
    </w:p>
    <w:p w:rsidR="00980C3E" w:rsidRPr="00980C3E" w:rsidRDefault="00980C3E" w:rsidP="00980C3E">
      <w:pPr>
        <w:jc w:val="center"/>
        <w:rPr>
          <w:noProof/>
        </w:rPr>
        <w:sectPr w:rsidR="00980C3E" w:rsidRPr="00980C3E" w:rsidSect="0036181E">
          <w:footerReference w:type="default" r:id="rId12"/>
          <w:pgSz w:w="12240" w:h="15840"/>
          <w:pgMar w:top="1440" w:right="1440" w:bottom="1440" w:left="1440" w:header="720" w:footer="720" w:gutter="0"/>
          <w:pgBorders w:display="firstPage" w:offsetFrom="page">
            <w:top w:val="thickThinLargeGap" w:sz="24" w:space="24" w:color="002060"/>
            <w:left w:val="thickThinLargeGap" w:sz="24" w:space="24" w:color="002060"/>
            <w:bottom w:val="thinThickLargeGap" w:sz="24" w:space="24" w:color="002060"/>
            <w:right w:val="thinThickLargeGap" w:sz="24" w:space="24" w:color="002060"/>
          </w:pgBorders>
          <w:cols w:space="720"/>
          <w:titlePg/>
          <w:docGrid w:linePitch="360"/>
        </w:sectPr>
      </w:pPr>
    </w:p>
    <w:p w:rsidR="00980C3E" w:rsidRPr="00980C3E" w:rsidRDefault="00980C3E" w:rsidP="00120192">
      <w:pPr>
        <w:rPr>
          <w:noProof/>
        </w:rPr>
      </w:pPr>
      <w:r>
        <w:rPr>
          <w:noProof/>
          <w:lang w:val="en-US" w:eastAsia="zh-CN"/>
        </w:rPr>
        <w:lastRenderedPageBreak/>
        <mc:AlternateContent>
          <mc:Choice Requires="wps">
            <w:drawing>
              <wp:inline distT="0" distB="0" distL="0" distR="0" wp14:anchorId="4C8FAE3F" wp14:editId="0CA2C4B8">
                <wp:extent cx="6217920" cy="8158038"/>
                <wp:effectExtent l="0" t="0" r="11430" b="1460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8158038"/>
                        </a:xfrm>
                        <a:prstGeom prst="rect">
                          <a:avLst/>
                        </a:prstGeom>
                        <a:solidFill>
                          <a:schemeClr val="bg1">
                            <a:lumMod val="95000"/>
                          </a:schemeClr>
                        </a:solidFill>
                        <a:ln w="9525">
                          <a:solidFill>
                            <a:srgbClr val="000000"/>
                          </a:solidFill>
                          <a:miter lim="800000"/>
                          <a:headEnd/>
                          <a:tailEnd/>
                        </a:ln>
                      </wps:spPr>
                      <wps:txbx>
                        <w:txbxContent>
                          <w:p w:rsidR="00120192" w:rsidRPr="00980C3E" w:rsidRDefault="00120192" w:rsidP="00980C3E">
                            <w:pPr>
                              <w:rPr>
                                <w:b/>
                                <w:bCs/>
                                <w:noProof/>
                                <w:sz w:val="24"/>
                                <w:szCs w:val="22"/>
                              </w:rPr>
                            </w:pPr>
                            <w:r>
                              <w:rPr>
                                <w:b/>
                                <w:sz w:val="24"/>
                              </w:rPr>
                              <w:t>Cómo utilizar este documento</w:t>
                            </w:r>
                          </w:p>
                          <w:p w:rsidR="00120192" w:rsidRDefault="00120192" w:rsidP="00120192">
                            <w:pPr>
                              <w:jc w:val="both"/>
                            </w:pPr>
                          </w:p>
                          <w:p w:rsidR="00120192" w:rsidRPr="00980C3E" w:rsidRDefault="00120192" w:rsidP="00120192">
                            <w:pPr>
                              <w:jc w:val="both"/>
                              <w:rPr>
                                <w:noProof/>
                              </w:rPr>
                            </w:pPr>
                            <w:r>
                              <w:t>El presente documento es tan solo un esquema en el que se presentan, en términos generales, los lineamientos para ayudar a los organismos de servicios de emergencia (911) y a los administradores de puntos de respuesta de seguridad pública/centros de comunicaciones de emergencia en la preparación de un plan de respuesta para la continuidad de operaciones ante la pandemia de COVID-19. Se invita a los organismos de servicios de emergencia (911) y a los administradores de puntos de respuesta de seguridad pública/centros de comunicaciones de emergencia a que utilicen este esquema para elaborar un plan de respuesta para la continuidad de operaciones más detallado y específico que satisfaga las necesidades y circunstancias de sus propios organismos y jurisdicciones.</w:t>
                            </w:r>
                          </w:p>
                          <w:p w:rsidR="00120192" w:rsidRPr="00980C3E" w:rsidRDefault="00120192" w:rsidP="00980C3E">
                            <w:pPr>
                              <w:rPr>
                                <w:noProof/>
                              </w:rPr>
                            </w:pPr>
                          </w:p>
                          <w:p w:rsidR="00120192" w:rsidRPr="00980C3E" w:rsidRDefault="00120192" w:rsidP="00120192">
                            <w:pPr>
                              <w:jc w:val="both"/>
                              <w:rPr>
                                <w:noProof/>
                              </w:rPr>
                            </w:pPr>
                            <w:r>
                              <w:t xml:space="preserve">Este esquema fue elaborado de conformidad con las metodologías utilizadas en la elaboración de planes de respuesta para la continuidad de operaciones de la Agencia Federal para el Manejo de Emergencias (conocida en inglés como FEMA), la </w:t>
                            </w:r>
                            <w:proofErr w:type="spellStart"/>
                            <w:r>
                              <w:t>National</w:t>
                            </w:r>
                            <w:proofErr w:type="spellEnd"/>
                            <w:r>
                              <w:t xml:space="preserve"> </w:t>
                            </w:r>
                            <w:proofErr w:type="spellStart"/>
                            <w:r>
                              <w:t>Fire</w:t>
                            </w:r>
                            <w:proofErr w:type="spellEnd"/>
                            <w:r>
                              <w:t xml:space="preserve"> </w:t>
                            </w:r>
                            <w:proofErr w:type="spellStart"/>
                            <w:r>
                              <w:t>Protection</w:t>
                            </w:r>
                            <w:proofErr w:type="spellEnd"/>
                            <w:r>
                              <w:t xml:space="preserve"> Association (NFPA</w:t>
                            </w:r>
                            <w:r>
                              <w:rPr>
                                <w:vertAlign w:val="superscript"/>
                              </w:rPr>
                              <w:t>®</w:t>
                            </w:r>
                            <w:r>
                              <w:t xml:space="preserve">) y la </w:t>
                            </w:r>
                            <w:proofErr w:type="spellStart"/>
                            <w:r>
                              <w:t>National</w:t>
                            </w:r>
                            <w:proofErr w:type="spellEnd"/>
                            <w:r>
                              <w:t xml:space="preserve"> </w:t>
                            </w:r>
                            <w:proofErr w:type="spellStart"/>
                            <w:r>
                              <w:t>Emergency</w:t>
                            </w:r>
                            <w:proofErr w:type="spellEnd"/>
                            <w:r>
                              <w:t xml:space="preserve"> </w:t>
                            </w:r>
                            <w:proofErr w:type="spellStart"/>
                            <w:r>
                              <w:t>Number</w:t>
                            </w:r>
                            <w:proofErr w:type="spellEnd"/>
                            <w:r>
                              <w:t xml:space="preserve"> Association (NENA). Las medidas de respuesta descritas en este esquema se elaboraron sobre la base de las directrices relativas a la COVID-19 proporcionadas por los Centros para el Control y Prevención de Enfermedades (mejor conocidos en inglés como CDC), la Comisión para la Igualdad de Oportunidades en el Empleo (conocida en inglés como EEOC) y la Oficina de Seguridad y Salud Ocupacional (conocida en inglés como OSHA).</w:t>
                            </w:r>
                          </w:p>
                          <w:p w:rsidR="00120192" w:rsidRPr="00980C3E" w:rsidRDefault="00120192" w:rsidP="00120192">
                            <w:pPr>
                              <w:jc w:val="both"/>
                              <w:rPr>
                                <w:noProof/>
                              </w:rPr>
                            </w:pPr>
                          </w:p>
                          <w:p w:rsidR="00120192" w:rsidRPr="00980C3E" w:rsidRDefault="00120192" w:rsidP="00120192">
                            <w:pPr>
                              <w:jc w:val="both"/>
                              <w:rPr>
                                <w:noProof/>
                              </w:rPr>
                            </w:pPr>
                            <w:r>
                              <w:t xml:space="preserve">Entre los que contribuyeron a la elaboración de este esquema se encuentran representantes de la Association </w:t>
                            </w:r>
                            <w:proofErr w:type="spellStart"/>
                            <w:r>
                              <w:t>for</w:t>
                            </w:r>
                            <w:proofErr w:type="spellEnd"/>
                            <w:r>
                              <w:t xml:space="preserve"> </w:t>
                            </w:r>
                            <w:proofErr w:type="spellStart"/>
                            <w:r>
                              <w:t>Public</w:t>
                            </w:r>
                            <w:proofErr w:type="spellEnd"/>
                            <w:r>
                              <w:t xml:space="preserve"> Safety </w:t>
                            </w:r>
                            <w:proofErr w:type="spellStart"/>
                            <w:r>
                              <w:t>Communications</w:t>
                            </w:r>
                            <w:proofErr w:type="spellEnd"/>
                            <w:r>
                              <w:t xml:space="preserve"> </w:t>
                            </w:r>
                            <w:proofErr w:type="spellStart"/>
                            <w:r>
                              <w:t>Officials</w:t>
                            </w:r>
                            <w:proofErr w:type="spellEnd"/>
                            <w:r>
                              <w:t xml:space="preserve"> International (APCO), el APCO </w:t>
                            </w:r>
                            <w:proofErr w:type="spellStart"/>
                            <w:r>
                              <w:t>Institute</w:t>
                            </w:r>
                            <w:proofErr w:type="spellEnd"/>
                            <w:r>
                              <w:t xml:space="preserve">, International </w:t>
                            </w:r>
                            <w:proofErr w:type="spellStart"/>
                            <w:r>
                              <w:t>Academies</w:t>
                            </w:r>
                            <w:proofErr w:type="spellEnd"/>
                            <w:r>
                              <w:t xml:space="preserve"> of </w:t>
                            </w:r>
                            <w:proofErr w:type="spellStart"/>
                            <w:r>
                              <w:t>Emergency</w:t>
                            </w:r>
                            <w:proofErr w:type="spellEnd"/>
                            <w:r>
                              <w:t xml:space="preserve"> </w:t>
                            </w:r>
                            <w:proofErr w:type="spellStart"/>
                            <w:r>
                              <w:t>Dispatch</w:t>
                            </w:r>
                            <w:proofErr w:type="spellEnd"/>
                            <w:r>
                              <w:t xml:space="preserve"> (IAED), </w:t>
                            </w:r>
                            <w:proofErr w:type="spellStart"/>
                            <w:r>
                              <w:t>National</w:t>
                            </w:r>
                            <w:proofErr w:type="spellEnd"/>
                            <w:r>
                              <w:t xml:space="preserve"> Association of </w:t>
                            </w:r>
                            <w:proofErr w:type="spellStart"/>
                            <w:r>
                              <w:t>State</w:t>
                            </w:r>
                            <w:proofErr w:type="spellEnd"/>
                            <w:r>
                              <w:t xml:space="preserve"> 911 </w:t>
                            </w:r>
                            <w:proofErr w:type="spellStart"/>
                            <w:r>
                              <w:t>Administrators</w:t>
                            </w:r>
                            <w:proofErr w:type="spellEnd"/>
                            <w:r>
                              <w:t xml:space="preserve"> (NASNA), NENA y </w:t>
                            </w:r>
                            <w:proofErr w:type="spellStart"/>
                            <w:r>
                              <w:t>PowerPhone</w:t>
                            </w:r>
                            <w:proofErr w:type="spellEnd"/>
                            <w:r>
                              <w:t xml:space="preserve"> Inc., así como sus miembros y clientes.</w:t>
                            </w:r>
                          </w:p>
                          <w:p w:rsidR="00120192" w:rsidRPr="00980C3E" w:rsidRDefault="00120192" w:rsidP="00120192">
                            <w:pPr>
                              <w:jc w:val="both"/>
                              <w:rPr>
                                <w:noProof/>
                              </w:rPr>
                            </w:pPr>
                          </w:p>
                          <w:p w:rsidR="00120192" w:rsidRPr="00980C3E" w:rsidRDefault="00120192" w:rsidP="00120192">
                            <w:pPr>
                              <w:jc w:val="both"/>
                              <w:rPr>
                                <w:noProof/>
                              </w:rPr>
                            </w:pPr>
                            <w:r>
                              <w:t xml:space="preserve">Se han incluido como notas a pie de página los enlaces a la información pertinente disponible en línea. </w:t>
                            </w:r>
                          </w:p>
                          <w:p w:rsidR="00120192" w:rsidRPr="00980C3E" w:rsidRDefault="00120192" w:rsidP="00120192">
                            <w:pPr>
                              <w:jc w:val="both"/>
                              <w:rPr>
                                <w:noProof/>
                                <w:sz w:val="18"/>
                              </w:rPr>
                            </w:pPr>
                          </w:p>
                          <w:p w:rsidR="00120192" w:rsidRPr="00980C3E" w:rsidRDefault="00120192" w:rsidP="00120192">
                            <w:pPr>
                              <w:jc w:val="both"/>
                              <w:rPr>
                                <w:rFonts w:cstheme="minorHAnsi"/>
                                <w:noProof/>
                                <w:szCs w:val="22"/>
                              </w:rPr>
                            </w:pPr>
                            <w:r>
                              <w:t xml:space="preserve">FEMA: Federal </w:t>
                            </w:r>
                            <w:proofErr w:type="spellStart"/>
                            <w:r>
                              <w:t>Continuity</w:t>
                            </w:r>
                            <w:proofErr w:type="spellEnd"/>
                            <w:r>
                              <w:t xml:space="preserve"> </w:t>
                            </w:r>
                            <w:proofErr w:type="spellStart"/>
                            <w:r>
                              <w:t>Directive</w:t>
                            </w:r>
                            <w:proofErr w:type="spellEnd"/>
                            <w:r>
                              <w:t xml:space="preserve"> 1 </w:t>
                            </w:r>
                            <w:r>
                              <w:rPr>
                                <w:i/>
                              </w:rPr>
                              <w:t xml:space="preserve">Federal </w:t>
                            </w:r>
                            <w:proofErr w:type="spellStart"/>
                            <w:r>
                              <w:rPr>
                                <w:i/>
                              </w:rPr>
                              <w:t>Executive</w:t>
                            </w:r>
                            <w:proofErr w:type="spellEnd"/>
                            <w:r>
                              <w:rPr>
                                <w:i/>
                              </w:rPr>
                              <w:t xml:space="preserve"> </w:t>
                            </w:r>
                            <w:proofErr w:type="spellStart"/>
                            <w:r>
                              <w:rPr>
                                <w:i/>
                              </w:rPr>
                              <w:t>Branch</w:t>
                            </w:r>
                            <w:proofErr w:type="spellEnd"/>
                            <w:r>
                              <w:rPr>
                                <w:i/>
                              </w:rPr>
                              <w:t xml:space="preserve"> </w:t>
                            </w:r>
                            <w:proofErr w:type="spellStart"/>
                            <w:r>
                              <w:rPr>
                                <w:i/>
                              </w:rPr>
                              <w:t>National</w:t>
                            </w:r>
                            <w:proofErr w:type="spellEnd"/>
                            <w:r>
                              <w:rPr>
                                <w:i/>
                              </w:rPr>
                              <w:t xml:space="preserve"> </w:t>
                            </w:r>
                            <w:proofErr w:type="spellStart"/>
                            <w:r>
                              <w:rPr>
                                <w:i/>
                              </w:rPr>
                              <w:t>Continuity</w:t>
                            </w:r>
                            <w:proofErr w:type="spellEnd"/>
                            <w:r>
                              <w:rPr>
                                <w:i/>
                              </w:rPr>
                              <w:t xml:space="preserve"> </w:t>
                            </w:r>
                            <w:proofErr w:type="spellStart"/>
                            <w:r>
                              <w:rPr>
                                <w:i/>
                              </w:rPr>
                              <w:t>Program</w:t>
                            </w:r>
                            <w:proofErr w:type="spellEnd"/>
                            <w:r>
                              <w:rPr>
                                <w:i/>
                              </w:rPr>
                              <w:t xml:space="preserve"> and </w:t>
                            </w:r>
                            <w:proofErr w:type="spellStart"/>
                            <w:r>
                              <w:rPr>
                                <w:i/>
                              </w:rPr>
                              <w:t>Requirements</w:t>
                            </w:r>
                            <w:proofErr w:type="spellEnd"/>
                            <w:r>
                              <w:t>, 17 de enero de 2017</w:t>
                            </w:r>
                          </w:p>
                          <w:p w:rsidR="00120192" w:rsidRPr="00980C3E" w:rsidRDefault="00EE6CA5" w:rsidP="00120192">
                            <w:pPr>
                              <w:jc w:val="both"/>
                              <w:rPr>
                                <w:rFonts w:cstheme="minorHAnsi"/>
                                <w:noProof/>
                                <w:szCs w:val="22"/>
                              </w:rPr>
                            </w:pPr>
                            <w:hyperlink r:id="rId13" w:tgtFrame="_blank" w:tooltip="Download file: January2017FCD1.pdf" w:history="1">
                              <w:r w:rsidR="00120192">
                                <w:rPr>
                                  <w:rStyle w:val="Hyperlink"/>
                                </w:rPr>
                                <w:t xml:space="preserve">Federal </w:t>
                              </w:r>
                              <w:proofErr w:type="spellStart"/>
                              <w:r w:rsidR="00120192">
                                <w:rPr>
                                  <w:rStyle w:val="Hyperlink"/>
                                </w:rPr>
                                <w:t>Continuity</w:t>
                              </w:r>
                              <w:proofErr w:type="spellEnd"/>
                              <w:r w:rsidR="00120192">
                                <w:rPr>
                                  <w:rStyle w:val="Hyperlink"/>
                                </w:rPr>
                                <w:t xml:space="preserve"> </w:t>
                              </w:r>
                              <w:proofErr w:type="spellStart"/>
                              <w:r w:rsidR="00120192">
                                <w:rPr>
                                  <w:rStyle w:val="Hyperlink"/>
                                </w:rPr>
                                <w:t>Directive</w:t>
                              </w:r>
                              <w:proofErr w:type="spellEnd"/>
                              <w:r w:rsidR="00120192">
                                <w:rPr>
                                  <w:rStyle w:val="Hyperlink"/>
                                </w:rPr>
                                <w:t xml:space="preserve"> 1 (FCD 1) </w:t>
                              </w:r>
                              <w:proofErr w:type="spellStart"/>
                              <w:r w:rsidR="00120192">
                                <w:rPr>
                                  <w:rStyle w:val="Hyperlink"/>
                                </w:rPr>
                                <w:t>January</w:t>
                              </w:r>
                              <w:proofErr w:type="spellEnd"/>
                              <w:r w:rsidR="00120192">
                                <w:rPr>
                                  <w:rStyle w:val="Hyperlink"/>
                                </w:rPr>
                                <w:t xml:space="preserve"> 2017</w:t>
                              </w:r>
                            </w:hyperlink>
                          </w:p>
                          <w:p w:rsidR="00120192" w:rsidRPr="00980C3E" w:rsidRDefault="00120192" w:rsidP="00120192">
                            <w:pPr>
                              <w:jc w:val="both"/>
                              <w:rPr>
                                <w:rFonts w:cstheme="minorHAnsi"/>
                                <w:noProof/>
                                <w:szCs w:val="22"/>
                              </w:rPr>
                            </w:pPr>
                          </w:p>
                          <w:p w:rsidR="00120192" w:rsidRPr="00120192" w:rsidRDefault="00120192" w:rsidP="00120192">
                            <w:pPr>
                              <w:jc w:val="both"/>
                              <w:rPr>
                                <w:rFonts w:cstheme="minorHAnsi"/>
                                <w:noProof/>
                                <w:szCs w:val="22"/>
                                <w:lang w:val="en-US"/>
                              </w:rPr>
                            </w:pPr>
                            <w:r w:rsidRPr="00120192">
                              <w:rPr>
                                <w:lang w:val="en-US"/>
                              </w:rPr>
                              <w:t xml:space="preserve">FEMA: Federal Continuity Directive 2 </w:t>
                            </w:r>
                            <w:r w:rsidRPr="00120192">
                              <w:rPr>
                                <w:i/>
                                <w:lang w:val="en-US"/>
                              </w:rPr>
                              <w:t>Federal Executive Branch Mission Essential Functions and Candidate Primary Mission Essential Functions Identification and Submission Process</w:t>
                            </w:r>
                            <w:r w:rsidRPr="00120192">
                              <w:rPr>
                                <w:lang w:val="en-US"/>
                              </w:rPr>
                              <w:t xml:space="preserve">, 13 de </w:t>
                            </w:r>
                            <w:proofErr w:type="spellStart"/>
                            <w:r w:rsidRPr="00120192">
                              <w:rPr>
                                <w:lang w:val="en-US"/>
                              </w:rPr>
                              <w:t>junio</w:t>
                            </w:r>
                            <w:proofErr w:type="spellEnd"/>
                            <w:r w:rsidRPr="00120192">
                              <w:rPr>
                                <w:lang w:val="en-US"/>
                              </w:rPr>
                              <w:t xml:space="preserve"> de 2017 </w:t>
                            </w:r>
                          </w:p>
                          <w:p w:rsidR="00120192" w:rsidRPr="00120192" w:rsidRDefault="00EE6CA5" w:rsidP="00120192">
                            <w:pPr>
                              <w:jc w:val="both"/>
                              <w:rPr>
                                <w:rFonts w:cstheme="minorHAnsi"/>
                                <w:noProof/>
                                <w:szCs w:val="22"/>
                                <w:lang w:val="en-US"/>
                              </w:rPr>
                            </w:pPr>
                            <w:hyperlink r:id="rId14" w:tgtFrame="_blank" w:tooltip="Download file: FCD-2June132017.pdf" w:history="1">
                              <w:r w:rsidR="00120192" w:rsidRPr="00120192">
                                <w:rPr>
                                  <w:rStyle w:val="Hyperlink"/>
                                  <w:lang w:val="en-US"/>
                                </w:rPr>
                                <w:t>Federal Continuity Directive 2 (FCD 2) June 13, 2017</w:t>
                              </w:r>
                            </w:hyperlink>
                          </w:p>
                          <w:p w:rsidR="00120192" w:rsidRPr="00120192" w:rsidRDefault="00120192" w:rsidP="00120192">
                            <w:pPr>
                              <w:jc w:val="both"/>
                              <w:rPr>
                                <w:rFonts w:cstheme="minorHAnsi"/>
                                <w:noProof/>
                                <w:szCs w:val="22"/>
                                <w:lang w:val="en-US"/>
                              </w:rPr>
                            </w:pPr>
                          </w:p>
                          <w:p w:rsidR="00120192" w:rsidRPr="00120192" w:rsidRDefault="00120192" w:rsidP="00120192">
                            <w:pPr>
                              <w:jc w:val="both"/>
                              <w:rPr>
                                <w:rFonts w:cstheme="minorHAnsi"/>
                                <w:noProof/>
                                <w:szCs w:val="22"/>
                                <w:lang w:val="en-US"/>
                              </w:rPr>
                            </w:pPr>
                            <w:r w:rsidRPr="00120192">
                              <w:rPr>
                                <w:lang w:val="en-US"/>
                              </w:rPr>
                              <w:t xml:space="preserve">NFPA 1600: </w:t>
                            </w:r>
                            <w:r w:rsidRPr="00120192">
                              <w:rPr>
                                <w:i/>
                                <w:lang w:val="en-US"/>
                              </w:rPr>
                              <w:t>Standard on Continuity, Emergency, and Crisis Management</w:t>
                            </w:r>
                          </w:p>
                          <w:p w:rsidR="00120192" w:rsidRPr="00120192" w:rsidRDefault="00EE6CA5" w:rsidP="00120192">
                            <w:pPr>
                              <w:jc w:val="both"/>
                              <w:rPr>
                                <w:rStyle w:val="Hyperlink"/>
                                <w:rFonts w:cstheme="minorHAnsi"/>
                                <w:noProof/>
                                <w:szCs w:val="22"/>
                                <w:lang w:val="en-US"/>
                              </w:rPr>
                            </w:pPr>
                            <w:hyperlink r:id="rId15" w:history="1">
                              <w:r w:rsidR="00120192" w:rsidRPr="00120192">
                                <w:rPr>
                                  <w:rStyle w:val="Hyperlink"/>
                                  <w:lang w:val="en-US"/>
                                </w:rPr>
                                <w:t>https://www.nfpa.org/assets/files/AboutTheCodes/1600/1600-13-PDF.pdf</w:t>
                              </w:r>
                            </w:hyperlink>
                          </w:p>
                          <w:p w:rsidR="00120192" w:rsidRPr="00120192" w:rsidRDefault="00120192" w:rsidP="00120192">
                            <w:pPr>
                              <w:jc w:val="both"/>
                              <w:rPr>
                                <w:rFonts w:cstheme="minorHAnsi"/>
                                <w:noProof/>
                                <w:szCs w:val="22"/>
                                <w:lang w:val="en-US"/>
                              </w:rPr>
                            </w:pPr>
                          </w:p>
                          <w:p w:rsidR="00120192" w:rsidRPr="00120192" w:rsidRDefault="00120192" w:rsidP="00120192">
                            <w:pPr>
                              <w:jc w:val="both"/>
                              <w:rPr>
                                <w:rFonts w:cstheme="minorHAnsi"/>
                                <w:noProof/>
                                <w:szCs w:val="22"/>
                                <w:lang w:val="en-US"/>
                              </w:rPr>
                            </w:pPr>
                            <w:r w:rsidRPr="00120192">
                              <w:rPr>
                                <w:lang w:val="en-US"/>
                              </w:rPr>
                              <w:t xml:space="preserve">NENA: </w:t>
                            </w:r>
                            <w:r w:rsidRPr="00120192">
                              <w:rPr>
                                <w:i/>
                                <w:lang w:val="en-US"/>
                              </w:rPr>
                              <w:t>NENA Communications Center/PSAP Disaster and Contingency Plans Model Recommendation (NENA-INF-017.3.2018)</w:t>
                            </w:r>
                          </w:p>
                          <w:p w:rsidR="00120192" w:rsidRPr="00120192" w:rsidRDefault="00EE6CA5" w:rsidP="00120192">
                            <w:pPr>
                              <w:jc w:val="both"/>
                              <w:rPr>
                                <w:rFonts w:eastAsia="Calibri" w:cstheme="minorHAnsi"/>
                                <w:noProof/>
                                <w:szCs w:val="22"/>
                                <w:lang w:val="en-US"/>
                              </w:rPr>
                            </w:pPr>
                            <w:hyperlink r:id="rId16" w:history="1">
                              <w:r w:rsidR="00120192" w:rsidRPr="00120192">
                                <w:rPr>
                                  <w:color w:val="0563C1"/>
                                  <w:u w:val="single"/>
                                  <w:lang w:val="en-US"/>
                                </w:rPr>
                                <w:t>https://www.nena.org/resource/resmgr/standards/nena-inf-017.3-2018_disaster.pdf</w:t>
                              </w:r>
                            </w:hyperlink>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89.6pt;height:64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" fillcolor="#f2f2f2 [3052]">
                <v:textbox>
                  <w:txbxContent>
                    <w:p w:rsidR="00120192" w:rsidRPr="00980C3E" w:rsidRDefault="00120192" w:rsidP="00980C3E">
                      <w:pPr>
                        <w:rPr>
                          <w:b/>
                          <w:bCs/>
                          <w:noProof/>
                          <w:sz w:val="24"/>
                          <w:szCs w:val="22"/>
                        </w:rPr>
                      </w:pPr>
                      <w:r>
                        <w:rPr>
                          <w:b/>
                          <w:sz w:val="24"/>
                        </w:rPr>
                        <w:t>Cómo utilizar este documento</w:t>
                      </w:r>
                    </w:p>
                    <w:p w:rsidR="00120192" w:rsidRDefault="00120192" w:rsidP="00120192">
                      <w:pPr>
                        <w:jc w:val="both"/>
                      </w:pPr>
                    </w:p>
                    <w:p w:rsidR="00120192" w:rsidRPr="00980C3E" w:rsidRDefault="00120192" w:rsidP="00120192">
                      <w:pPr>
                        <w:jc w:val="both"/>
                        <w:rPr>
                          <w:noProof/>
                        </w:rPr>
                      </w:pPr>
                      <w:r>
                        <w:t>El presente documento es tan solo un esquema en el que se presentan, en términos generales, los lineamientos para ayudar a los organismos de servicios de emergencia (911) y a los administradores de puntos de respuesta de seguridad pública/centros de comunicaciones de emergencia en la preparación de un plan de respuesta para la continuidad de operaciones ante la pandemia de COVID-19. Se invita a los organismos de servicios de emergencia (911) y a los administradores de puntos de respuesta de seguridad pública/centros de comunicaciones de emergencia a que utilicen este esquema para elaborar un plan de respuesta para la continuidad de operaciones más detallado y específico que satisfaga las necesidades y circunstancias de sus propios organismos y jurisdicciones.</w:t>
                      </w:r>
                    </w:p>
                    <w:p w:rsidR="00120192" w:rsidRPr="00980C3E" w:rsidRDefault="00120192" w:rsidP="00980C3E">
                      <w:pPr>
                        <w:rPr>
                          <w:noProof/>
                        </w:rPr>
                      </w:pPr>
                    </w:p>
                    <w:p w:rsidR="00120192" w:rsidRPr="00980C3E" w:rsidRDefault="00120192" w:rsidP="00120192">
                      <w:pPr>
                        <w:jc w:val="both"/>
                        <w:rPr>
                          <w:noProof/>
                        </w:rPr>
                      </w:pPr>
                      <w:r>
                        <w:t xml:space="preserve">Este esquema fue elaborado de conformidad con las metodologías utilizadas en la elaboración de planes de respuesta para la continuidad de operaciones de la Agencia Federal para el Manejo de Emergencias (conocida en inglés como FEMA), la </w:t>
                      </w:r>
                      <w:proofErr w:type="spellStart"/>
                      <w:r>
                        <w:t>National</w:t>
                      </w:r>
                      <w:proofErr w:type="spellEnd"/>
                      <w:r>
                        <w:t xml:space="preserve"> </w:t>
                      </w:r>
                      <w:proofErr w:type="spellStart"/>
                      <w:r>
                        <w:t>Fire</w:t>
                      </w:r>
                      <w:proofErr w:type="spellEnd"/>
                      <w:r>
                        <w:t xml:space="preserve"> </w:t>
                      </w:r>
                      <w:proofErr w:type="spellStart"/>
                      <w:r>
                        <w:t>Protection</w:t>
                      </w:r>
                      <w:proofErr w:type="spellEnd"/>
                      <w:r>
                        <w:t xml:space="preserve"> Association (NFPA</w:t>
                      </w:r>
                      <w:r>
                        <w:rPr>
                          <w:vertAlign w:val="superscript"/>
                        </w:rPr>
                        <w:t>®</w:t>
                      </w:r>
                      <w:r>
                        <w:t xml:space="preserve">) y la </w:t>
                      </w:r>
                      <w:proofErr w:type="spellStart"/>
                      <w:r>
                        <w:t>National</w:t>
                      </w:r>
                      <w:proofErr w:type="spellEnd"/>
                      <w:r>
                        <w:t xml:space="preserve"> </w:t>
                      </w:r>
                      <w:proofErr w:type="spellStart"/>
                      <w:r>
                        <w:t>Emergency</w:t>
                      </w:r>
                      <w:proofErr w:type="spellEnd"/>
                      <w:r>
                        <w:t xml:space="preserve"> </w:t>
                      </w:r>
                      <w:proofErr w:type="spellStart"/>
                      <w:r>
                        <w:t>Number</w:t>
                      </w:r>
                      <w:proofErr w:type="spellEnd"/>
                      <w:r>
                        <w:t xml:space="preserve"> Association (NENA). Las medidas de respuesta descritas en este esquema se elaboraron sobre la base de las directrices relativas a la COVID-19 proporcionadas por los Centros para el Control y Prevención de Enfermedades (mejor conocidos en inglés como CDC), la Comisión para la Igualdad de Oportunidades en el Empleo (conocida en inglés como EEOC) y la Oficina de Seguridad y Salud Ocupacional (conocida en inglés como OSHA).</w:t>
                      </w:r>
                    </w:p>
                    <w:p w:rsidR="00120192" w:rsidRPr="00980C3E" w:rsidRDefault="00120192" w:rsidP="00120192">
                      <w:pPr>
                        <w:jc w:val="both"/>
                        <w:rPr>
                          <w:noProof/>
                        </w:rPr>
                      </w:pPr>
                    </w:p>
                    <w:p w:rsidR="00120192" w:rsidRPr="00980C3E" w:rsidRDefault="00120192" w:rsidP="00120192">
                      <w:pPr>
                        <w:jc w:val="both"/>
                        <w:rPr>
                          <w:noProof/>
                        </w:rPr>
                      </w:pPr>
                      <w:r>
                        <w:t xml:space="preserve">Entre los que contribuyeron a la elaboración de este esquema se encuentran representantes de la Association </w:t>
                      </w:r>
                      <w:proofErr w:type="spellStart"/>
                      <w:r>
                        <w:t>for</w:t>
                      </w:r>
                      <w:proofErr w:type="spellEnd"/>
                      <w:r>
                        <w:t xml:space="preserve"> </w:t>
                      </w:r>
                      <w:proofErr w:type="spellStart"/>
                      <w:r>
                        <w:t>Public</w:t>
                      </w:r>
                      <w:proofErr w:type="spellEnd"/>
                      <w:r>
                        <w:t xml:space="preserve"> Safety </w:t>
                      </w:r>
                      <w:proofErr w:type="spellStart"/>
                      <w:r>
                        <w:t>Communications</w:t>
                      </w:r>
                      <w:proofErr w:type="spellEnd"/>
                      <w:r>
                        <w:t xml:space="preserve"> </w:t>
                      </w:r>
                      <w:proofErr w:type="spellStart"/>
                      <w:r>
                        <w:t>Officials</w:t>
                      </w:r>
                      <w:proofErr w:type="spellEnd"/>
                      <w:r>
                        <w:t xml:space="preserve"> International (APCO), el APCO </w:t>
                      </w:r>
                      <w:proofErr w:type="spellStart"/>
                      <w:r>
                        <w:t>Institute</w:t>
                      </w:r>
                      <w:proofErr w:type="spellEnd"/>
                      <w:r>
                        <w:t xml:space="preserve">, International </w:t>
                      </w:r>
                      <w:proofErr w:type="spellStart"/>
                      <w:r>
                        <w:t>Academies</w:t>
                      </w:r>
                      <w:proofErr w:type="spellEnd"/>
                      <w:r>
                        <w:t xml:space="preserve"> of </w:t>
                      </w:r>
                      <w:proofErr w:type="spellStart"/>
                      <w:r>
                        <w:t>Emergency</w:t>
                      </w:r>
                      <w:proofErr w:type="spellEnd"/>
                      <w:r>
                        <w:t xml:space="preserve"> </w:t>
                      </w:r>
                      <w:proofErr w:type="spellStart"/>
                      <w:r>
                        <w:t>Dispatch</w:t>
                      </w:r>
                      <w:proofErr w:type="spellEnd"/>
                      <w:r>
                        <w:t xml:space="preserve"> (IAED), </w:t>
                      </w:r>
                      <w:proofErr w:type="spellStart"/>
                      <w:r>
                        <w:t>National</w:t>
                      </w:r>
                      <w:proofErr w:type="spellEnd"/>
                      <w:r>
                        <w:t xml:space="preserve"> Association of </w:t>
                      </w:r>
                      <w:proofErr w:type="spellStart"/>
                      <w:r>
                        <w:t>State</w:t>
                      </w:r>
                      <w:proofErr w:type="spellEnd"/>
                      <w:r>
                        <w:t xml:space="preserve"> 911 </w:t>
                      </w:r>
                      <w:proofErr w:type="spellStart"/>
                      <w:r>
                        <w:t>Administrators</w:t>
                      </w:r>
                      <w:proofErr w:type="spellEnd"/>
                      <w:r>
                        <w:t xml:space="preserve"> (NASNA), NENA y </w:t>
                      </w:r>
                      <w:proofErr w:type="spellStart"/>
                      <w:r>
                        <w:t>PowerPhone</w:t>
                      </w:r>
                      <w:proofErr w:type="spellEnd"/>
                      <w:r>
                        <w:t xml:space="preserve"> Inc., así como sus miembros y clientes.</w:t>
                      </w:r>
                    </w:p>
                    <w:p w:rsidR="00120192" w:rsidRPr="00980C3E" w:rsidRDefault="00120192" w:rsidP="00120192">
                      <w:pPr>
                        <w:jc w:val="both"/>
                        <w:rPr>
                          <w:noProof/>
                        </w:rPr>
                      </w:pPr>
                    </w:p>
                    <w:p w:rsidR="00120192" w:rsidRPr="00980C3E" w:rsidRDefault="00120192" w:rsidP="00120192">
                      <w:pPr>
                        <w:jc w:val="both"/>
                        <w:rPr>
                          <w:noProof/>
                        </w:rPr>
                      </w:pPr>
                      <w:r>
                        <w:t xml:space="preserve">Se han incluido como notas a pie de página los enlaces a la información pertinente disponible en línea. </w:t>
                      </w:r>
                    </w:p>
                    <w:p w:rsidR="00120192" w:rsidRPr="00980C3E" w:rsidRDefault="00120192" w:rsidP="00120192">
                      <w:pPr>
                        <w:jc w:val="both"/>
                        <w:rPr>
                          <w:noProof/>
                          <w:sz w:val="18"/>
                        </w:rPr>
                      </w:pPr>
                    </w:p>
                    <w:p w:rsidR="00120192" w:rsidRPr="00980C3E" w:rsidRDefault="00120192" w:rsidP="00120192">
                      <w:pPr>
                        <w:jc w:val="both"/>
                        <w:rPr>
                          <w:rFonts w:cstheme="minorHAnsi"/>
                          <w:noProof/>
                          <w:szCs w:val="22"/>
                        </w:rPr>
                      </w:pPr>
                      <w:r>
                        <w:t xml:space="preserve">FEMA: Federal </w:t>
                      </w:r>
                      <w:proofErr w:type="spellStart"/>
                      <w:r>
                        <w:t>Continuity</w:t>
                      </w:r>
                      <w:proofErr w:type="spellEnd"/>
                      <w:r>
                        <w:t xml:space="preserve"> </w:t>
                      </w:r>
                      <w:proofErr w:type="spellStart"/>
                      <w:r>
                        <w:t>Directive</w:t>
                      </w:r>
                      <w:proofErr w:type="spellEnd"/>
                      <w:r>
                        <w:t xml:space="preserve"> 1 </w:t>
                      </w:r>
                      <w:r>
                        <w:rPr>
                          <w:i/>
                        </w:rPr>
                        <w:t xml:space="preserve">Federal </w:t>
                      </w:r>
                      <w:proofErr w:type="spellStart"/>
                      <w:r>
                        <w:rPr>
                          <w:i/>
                        </w:rPr>
                        <w:t>Executive</w:t>
                      </w:r>
                      <w:proofErr w:type="spellEnd"/>
                      <w:r>
                        <w:rPr>
                          <w:i/>
                        </w:rPr>
                        <w:t xml:space="preserve"> </w:t>
                      </w:r>
                      <w:proofErr w:type="spellStart"/>
                      <w:r>
                        <w:rPr>
                          <w:i/>
                        </w:rPr>
                        <w:t>Branch</w:t>
                      </w:r>
                      <w:proofErr w:type="spellEnd"/>
                      <w:r>
                        <w:rPr>
                          <w:i/>
                        </w:rPr>
                        <w:t xml:space="preserve"> </w:t>
                      </w:r>
                      <w:proofErr w:type="spellStart"/>
                      <w:r>
                        <w:rPr>
                          <w:i/>
                        </w:rPr>
                        <w:t>National</w:t>
                      </w:r>
                      <w:proofErr w:type="spellEnd"/>
                      <w:r>
                        <w:rPr>
                          <w:i/>
                        </w:rPr>
                        <w:t xml:space="preserve"> </w:t>
                      </w:r>
                      <w:proofErr w:type="spellStart"/>
                      <w:r>
                        <w:rPr>
                          <w:i/>
                        </w:rPr>
                        <w:t>Continuity</w:t>
                      </w:r>
                      <w:proofErr w:type="spellEnd"/>
                      <w:r>
                        <w:rPr>
                          <w:i/>
                        </w:rPr>
                        <w:t xml:space="preserve"> </w:t>
                      </w:r>
                      <w:proofErr w:type="spellStart"/>
                      <w:r>
                        <w:rPr>
                          <w:i/>
                        </w:rPr>
                        <w:t>Program</w:t>
                      </w:r>
                      <w:proofErr w:type="spellEnd"/>
                      <w:r>
                        <w:rPr>
                          <w:i/>
                        </w:rPr>
                        <w:t xml:space="preserve"> and </w:t>
                      </w:r>
                      <w:proofErr w:type="spellStart"/>
                      <w:r>
                        <w:rPr>
                          <w:i/>
                        </w:rPr>
                        <w:t>Requirements</w:t>
                      </w:r>
                      <w:proofErr w:type="spellEnd"/>
                      <w:r>
                        <w:t>, 17 de enero de 2017</w:t>
                      </w:r>
                    </w:p>
                    <w:p w:rsidR="00120192" w:rsidRPr="00980C3E" w:rsidRDefault="00EE6CA5" w:rsidP="00120192">
                      <w:pPr>
                        <w:jc w:val="both"/>
                        <w:rPr>
                          <w:rFonts w:cstheme="minorHAnsi"/>
                          <w:noProof/>
                          <w:szCs w:val="22"/>
                        </w:rPr>
                      </w:pPr>
                      <w:hyperlink r:id="rId17" w:tgtFrame="_blank" w:tooltip="Download file: January2017FCD1.pdf" w:history="1">
                        <w:r w:rsidR="00120192">
                          <w:rPr>
                            <w:rStyle w:val="Hyperlink"/>
                          </w:rPr>
                          <w:t xml:space="preserve">Federal </w:t>
                        </w:r>
                        <w:proofErr w:type="spellStart"/>
                        <w:r w:rsidR="00120192">
                          <w:rPr>
                            <w:rStyle w:val="Hyperlink"/>
                          </w:rPr>
                          <w:t>Continuity</w:t>
                        </w:r>
                        <w:proofErr w:type="spellEnd"/>
                        <w:r w:rsidR="00120192">
                          <w:rPr>
                            <w:rStyle w:val="Hyperlink"/>
                          </w:rPr>
                          <w:t xml:space="preserve"> </w:t>
                        </w:r>
                        <w:proofErr w:type="spellStart"/>
                        <w:r w:rsidR="00120192">
                          <w:rPr>
                            <w:rStyle w:val="Hyperlink"/>
                          </w:rPr>
                          <w:t>Directive</w:t>
                        </w:r>
                        <w:proofErr w:type="spellEnd"/>
                        <w:r w:rsidR="00120192">
                          <w:rPr>
                            <w:rStyle w:val="Hyperlink"/>
                          </w:rPr>
                          <w:t xml:space="preserve"> 1 (FCD 1) </w:t>
                        </w:r>
                        <w:proofErr w:type="spellStart"/>
                        <w:r w:rsidR="00120192">
                          <w:rPr>
                            <w:rStyle w:val="Hyperlink"/>
                          </w:rPr>
                          <w:t>January</w:t>
                        </w:r>
                        <w:proofErr w:type="spellEnd"/>
                        <w:r w:rsidR="00120192">
                          <w:rPr>
                            <w:rStyle w:val="Hyperlink"/>
                          </w:rPr>
                          <w:t xml:space="preserve"> 2017</w:t>
                        </w:r>
                      </w:hyperlink>
                    </w:p>
                    <w:p w:rsidR="00120192" w:rsidRPr="00980C3E" w:rsidRDefault="00120192" w:rsidP="00120192">
                      <w:pPr>
                        <w:jc w:val="both"/>
                        <w:rPr>
                          <w:rFonts w:cstheme="minorHAnsi"/>
                          <w:noProof/>
                          <w:szCs w:val="22"/>
                        </w:rPr>
                      </w:pPr>
                    </w:p>
                    <w:p w:rsidR="00120192" w:rsidRPr="00120192" w:rsidRDefault="00120192" w:rsidP="00120192">
                      <w:pPr>
                        <w:jc w:val="both"/>
                        <w:rPr>
                          <w:rFonts w:cstheme="minorHAnsi"/>
                          <w:noProof/>
                          <w:szCs w:val="22"/>
                          <w:lang w:val="en-US"/>
                        </w:rPr>
                      </w:pPr>
                      <w:r w:rsidRPr="00120192">
                        <w:rPr>
                          <w:lang w:val="en-US"/>
                        </w:rPr>
                        <w:t xml:space="preserve">FEMA: Federal Continuity Directive 2 </w:t>
                      </w:r>
                      <w:r w:rsidRPr="00120192">
                        <w:rPr>
                          <w:i/>
                          <w:lang w:val="en-US"/>
                        </w:rPr>
                        <w:t>Federal Executive Branch Mission Essential Functions and Candidate Primary Mission Essential Functions Identification and Submission Process</w:t>
                      </w:r>
                      <w:r w:rsidRPr="00120192">
                        <w:rPr>
                          <w:lang w:val="en-US"/>
                        </w:rPr>
                        <w:t xml:space="preserve">, 13 de </w:t>
                      </w:r>
                      <w:proofErr w:type="spellStart"/>
                      <w:r w:rsidRPr="00120192">
                        <w:rPr>
                          <w:lang w:val="en-US"/>
                        </w:rPr>
                        <w:t>junio</w:t>
                      </w:r>
                      <w:proofErr w:type="spellEnd"/>
                      <w:r w:rsidRPr="00120192">
                        <w:rPr>
                          <w:lang w:val="en-US"/>
                        </w:rPr>
                        <w:t xml:space="preserve"> de 2017 </w:t>
                      </w:r>
                    </w:p>
                    <w:p w:rsidR="00120192" w:rsidRPr="00120192" w:rsidRDefault="00EE6CA5" w:rsidP="00120192">
                      <w:pPr>
                        <w:jc w:val="both"/>
                        <w:rPr>
                          <w:rFonts w:cstheme="minorHAnsi"/>
                          <w:noProof/>
                          <w:szCs w:val="22"/>
                          <w:lang w:val="en-US"/>
                        </w:rPr>
                      </w:pPr>
                      <w:hyperlink r:id="rId18" w:tgtFrame="_blank" w:tooltip="Download file: FCD-2June132017.pdf" w:history="1">
                        <w:r w:rsidR="00120192" w:rsidRPr="00120192">
                          <w:rPr>
                            <w:rStyle w:val="Hyperlink"/>
                            <w:lang w:val="en-US"/>
                          </w:rPr>
                          <w:t>Federal Continuity Directive 2 (FCD 2) June 13, 2017</w:t>
                        </w:r>
                      </w:hyperlink>
                    </w:p>
                    <w:p w:rsidR="00120192" w:rsidRPr="00120192" w:rsidRDefault="00120192" w:rsidP="00120192">
                      <w:pPr>
                        <w:jc w:val="both"/>
                        <w:rPr>
                          <w:rFonts w:cstheme="minorHAnsi"/>
                          <w:noProof/>
                          <w:szCs w:val="22"/>
                          <w:lang w:val="en-US"/>
                        </w:rPr>
                      </w:pPr>
                    </w:p>
                    <w:p w:rsidR="00120192" w:rsidRPr="00120192" w:rsidRDefault="00120192" w:rsidP="00120192">
                      <w:pPr>
                        <w:jc w:val="both"/>
                        <w:rPr>
                          <w:rFonts w:cstheme="minorHAnsi"/>
                          <w:noProof/>
                          <w:szCs w:val="22"/>
                          <w:lang w:val="en-US"/>
                        </w:rPr>
                      </w:pPr>
                      <w:r w:rsidRPr="00120192">
                        <w:rPr>
                          <w:lang w:val="en-US"/>
                        </w:rPr>
                        <w:t xml:space="preserve">NFPA 1600: </w:t>
                      </w:r>
                      <w:r w:rsidRPr="00120192">
                        <w:rPr>
                          <w:i/>
                          <w:lang w:val="en-US"/>
                        </w:rPr>
                        <w:t>Standard on Continuity, Emergency, and Crisis Management</w:t>
                      </w:r>
                    </w:p>
                    <w:p w:rsidR="00120192" w:rsidRPr="00120192" w:rsidRDefault="00EE6CA5" w:rsidP="00120192">
                      <w:pPr>
                        <w:jc w:val="both"/>
                        <w:rPr>
                          <w:rStyle w:val="Hyperlink"/>
                          <w:rFonts w:cstheme="minorHAnsi"/>
                          <w:noProof/>
                          <w:szCs w:val="22"/>
                          <w:lang w:val="en-US"/>
                        </w:rPr>
                      </w:pPr>
                      <w:hyperlink r:id="rId19" w:history="1">
                        <w:r w:rsidR="00120192" w:rsidRPr="00120192">
                          <w:rPr>
                            <w:rStyle w:val="Hyperlink"/>
                            <w:lang w:val="en-US"/>
                          </w:rPr>
                          <w:t>https://www.nfpa.org/assets/files/AboutTheCodes/1600/1600-13-PDF.pdf</w:t>
                        </w:r>
                      </w:hyperlink>
                    </w:p>
                    <w:p w:rsidR="00120192" w:rsidRPr="00120192" w:rsidRDefault="00120192" w:rsidP="00120192">
                      <w:pPr>
                        <w:jc w:val="both"/>
                        <w:rPr>
                          <w:rFonts w:cstheme="minorHAnsi"/>
                          <w:noProof/>
                          <w:szCs w:val="22"/>
                          <w:lang w:val="en-US"/>
                        </w:rPr>
                      </w:pPr>
                    </w:p>
                    <w:p w:rsidR="00120192" w:rsidRPr="00120192" w:rsidRDefault="00120192" w:rsidP="00120192">
                      <w:pPr>
                        <w:jc w:val="both"/>
                        <w:rPr>
                          <w:rFonts w:cstheme="minorHAnsi"/>
                          <w:noProof/>
                          <w:szCs w:val="22"/>
                          <w:lang w:val="en-US"/>
                        </w:rPr>
                      </w:pPr>
                      <w:r w:rsidRPr="00120192">
                        <w:rPr>
                          <w:lang w:val="en-US"/>
                        </w:rPr>
                        <w:t xml:space="preserve">NENA: </w:t>
                      </w:r>
                      <w:r w:rsidRPr="00120192">
                        <w:rPr>
                          <w:i/>
                          <w:lang w:val="en-US"/>
                        </w:rPr>
                        <w:t>NENA Communications Center/PSAP Disaster and Contingency Plans Model Recommendation (NENA-INF-017.3.2018)</w:t>
                      </w:r>
                    </w:p>
                    <w:p w:rsidR="00120192" w:rsidRPr="00120192" w:rsidRDefault="00EE6CA5" w:rsidP="00120192">
                      <w:pPr>
                        <w:jc w:val="both"/>
                        <w:rPr>
                          <w:rFonts w:eastAsia="Calibri" w:cstheme="minorHAnsi"/>
                          <w:noProof/>
                          <w:szCs w:val="22"/>
                          <w:lang w:val="en-US"/>
                        </w:rPr>
                      </w:pPr>
                      <w:hyperlink r:id="rId20" w:history="1">
                        <w:r w:rsidR="00120192" w:rsidRPr="00120192">
                          <w:rPr>
                            <w:color w:val="0563C1"/>
                            <w:u w:val="single"/>
                            <w:lang w:val="en-US"/>
                          </w:rPr>
                          <w:t>https://www.nena.org/resource/resmgr/standards/nena-inf-017.3-2018_disaster.pdf</w:t>
                        </w:r>
                      </w:hyperlink>
                    </w:p>
                  </w:txbxContent>
                </v:textbox>
                <w10:anchorlock/>
              </v:shape>
            </w:pict>
          </mc:Fallback>
        </mc:AlternateContent>
      </w:r>
      <w:r>
        <w:lastRenderedPageBreak/>
        <w:br w:type="page"/>
      </w:r>
    </w:p>
    <w:p w:rsidR="00980C3E" w:rsidRPr="00980C3E" w:rsidRDefault="00980C3E" w:rsidP="00980C3E">
      <w:pPr>
        <w:pStyle w:val="Heading1"/>
        <w:ind w:left="720" w:hanging="720"/>
        <w:rPr>
          <w:noProof/>
        </w:rPr>
      </w:pPr>
      <w:r>
        <w:lastRenderedPageBreak/>
        <w:t>Introducción</w:t>
      </w:r>
    </w:p>
    <w:p w:rsidR="00980C3E" w:rsidRPr="00980C3E" w:rsidRDefault="00980C3E" w:rsidP="00120192">
      <w:pPr>
        <w:jc w:val="both"/>
        <w:rPr>
          <w:rFonts w:cstheme="minorHAnsi"/>
          <w:noProof/>
        </w:rPr>
      </w:pPr>
      <w:r>
        <w:t xml:space="preserve">Los Estados Unidos participan en una respuesta mundial sin precedentes ante una emergencia de salud pública generada por la aparición de un nuevo patógeno viral. La enfermedad provocada por el nuevo coronavirus (COVID-19) se propaga fácilmente de persona a persona debido a que nuestra población no es inmune a ella. Los efectos de una pandemia afectarán el funcionamiento de </w:t>
      </w:r>
      <w:r>
        <w:rPr>
          <w:b/>
          <w:bCs/>
        </w:rPr>
        <w:t>[NOMBRE DE LA ENTIDAD]</w:t>
      </w:r>
      <w:r>
        <w:t xml:space="preserve">. </w:t>
      </w:r>
    </w:p>
    <w:p w:rsidR="00980C3E" w:rsidRPr="00980C3E" w:rsidRDefault="00980C3E" w:rsidP="00120192">
      <w:pPr>
        <w:jc w:val="both"/>
        <w:rPr>
          <w:noProof/>
        </w:rPr>
      </w:pPr>
    </w:p>
    <w:p w:rsidR="00980C3E" w:rsidRPr="00980C3E" w:rsidRDefault="00980C3E" w:rsidP="00120192">
      <w:pPr>
        <w:jc w:val="both"/>
        <w:rPr>
          <w:noProof/>
        </w:rPr>
      </w:pPr>
      <w:r>
        <w:t>El Departamento de Seguridad Nacional (</w:t>
      </w:r>
      <w:r w:rsidR="00783BF0">
        <w:t xml:space="preserve">conocido en inglés como </w:t>
      </w:r>
      <w:r>
        <w:t xml:space="preserve">DHS) ha designado los servicios de emergencia y las organizaciones de seguridad pública de los Estados Unidos como parte </w:t>
      </w:r>
      <w:r w:rsidRPr="00783BF0">
        <w:rPr>
          <w:iCs/>
        </w:rPr>
        <w:t>de la</w:t>
      </w:r>
      <w:r>
        <w:rPr>
          <w:i/>
        </w:rPr>
        <w:t xml:space="preserve"> infraestructura crítica</w:t>
      </w:r>
      <w:r w:rsidRPr="00980C3E">
        <w:rPr>
          <w:rFonts w:eastAsia="Times New Roman" w:cs="Times New Roman"/>
          <w:noProof/>
          <w:szCs w:val="34"/>
          <w:vertAlign w:val="superscript"/>
        </w:rPr>
        <w:footnoteReference w:id="2"/>
      </w:r>
      <w:r>
        <w:t>.</w:t>
      </w:r>
      <w:r>
        <w:rPr>
          <w:vertAlign w:val="superscript"/>
        </w:rPr>
        <w:t xml:space="preserve"> </w:t>
      </w:r>
      <w:r>
        <w:t xml:space="preserve">Aquellas personas que trabajan en el sector de telecomunicaciones de seguridad pública, como los </w:t>
      </w:r>
      <w:r w:rsidR="002F45BA">
        <w:t>“</w:t>
      </w:r>
      <w:r>
        <w:t>empleados de centros 911</w:t>
      </w:r>
      <w:r w:rsidR="002F45BA">
        <w:t>”</w:t>
      </w:r>
      <w:r>
        <w:t xml:space="preserve">, están clasificados como </w:t>
      </w:r>
      <w:r w:rsidR="002F45BA">
        <w:t>“</w:t>
      </w:r>
      <w:r>
        <w:rPr>
          <w:i/>
        </w:rPr>
        <w:t>trabajadores esenciales de infraestructuras críticas</w:t>
      </w:r>
      <w:r w:rsidR="002F45BA">
        <w:t>”</w:t>
      </w:r>
      <w:r>
        <w:t xml:space="preserve"> por la Oficina de Infraestructura Crítica y </w:t>
      </w:r>
      <w:proofErr w:type="spellStart"/>
      <w:r>
        <w:t>Ciberseguridad</w:t>
      </w:r>
      <w:proofErr w:type="spellEnd"/>
      <w:r>
        <w:t xml:space="preserve"> del Departamento de Seguridad Nacional</w:t>
      </w:r>
      <w:r>
        <w:rPr>
          <w:vertAlign w:val="superscript"/>
        </w:rPr>
        <w:t>2</w:t>
      </w:r>
      <w:r>
        <w:t>.</w:t>
      </w:r>
      <w:r w:rsidR="00EF64AA">
        <w:t xml:space="preserve"> </w:t>
      </w:r>
      <w:r>
        <w:t xml:space="preserve">Las personas que trabajan como agentes del orden público, bomberos/rescatistas, servicios médicos de emergencia y gestión de emergencias también </w:t>
      </w:r>
      <w:r w:rsidR="00783BF0">
        <w:t xml:space="preserve">están </w:t>
      </w:r>
      <w:proofErr w:type="gramStart"/>
      <w:r w:rsidR="00783BF0">
        <w:t>incluidos</w:t>
      </w:r>
      <w:proofErr w:type="gramEnd"/>
      <w:r>
        <w:t xml:space="preserve"> en esta categoría</w:t>
      </w:r>
      <w:r w:rsidRPr="00980C3E">
        <w:rPr>
          <w:rStyle w:val="FootnoteReference"/>
          <w:i/>
          <w:iCs/>
          <w:noProof/>
        </w:rPr>
        <w:footnoteReference w:id="3"/>
      </w:r>
      <w:r>
        <w:rPr>
          <w:i/>
        </w:rPr>
        <w:t>.</w:t>
      </w:r>
      <w:r>
        <w:t xml:space="preserve"> El trabajo de todas estas personas es crítico para la salud y la seguridad de la comunidad y no puede ser interrumpido por la pandemia de COVID-19 o cualquier otra pandemia.</w:t>
      </w:r>
    </w:p>
    <w:p w:rsidR="00980C3E" w:rsidRPr="00980C3E" w:rsidRDefault="00980C3E" w:rsidP="00120192">
      <w:pPr>
        <w:jc w:val="both"/>
        <w:rPr>
          <w:noProof/>
        </w:rPr>
      </w:pPr>
    </w:p>
    <w:p w:rsidR="00980C3E" w:rsidRPr="00980C3E" w:rsidRDefault="00980C3E" w:rsidP="00120192">
      <w:pPr>
        <w:jc w:val="both"/>
        <w:rPr>
          <w:noProof/>
        </w:rPr>
      </w:pPr>
    </w:p>
    <w:p w:rsidR="00980C3E" w:rsidRPr="00980C3E" w:rsidRDefault="00980C3E" w:rsidP="00120192">
      <w:pPr>
        <w:pStyle w:val="Heading1"/>
        <w:ind w:left="720" w:hanging="720"/>
        <w:jc w:val="both"/>
        <w:rPr>
          <w:noProof/>
        </w:rPr>
      </w:pPr>
      <w:r>
        <w:t>Propósito</w:t>
      </w:r>
    </w:p>
    <w:p w:rsidR="00980C3E" w:rsidRPr="00980C3E" w:rsidRDefault="00980C3E" w:rsidP="00120192">
      <w:pPr>
        <w:jc w:val="both"/>
        <w:rPr>
          <w:noProof/>
        </w:rPr>
      </w:pPr>
      <w:r>
        <w:t xml:space="preserve">El </w:t>
      </w:r>
      <w:r>
        <w:rPr>
          <w:b/>
          <w:bCs/>
        </w:rPr>
        <w:t>[NOMBRE DE LA ENTIDAD]</w:t>
      </w:r>
      <w:r>
        <w:t xml:space="preserve"> utilizará este plan para mantener las funciones esenciales en caso de que surja una pandemia. En este plan se presentan procedimientos y medidas que tienen por objeto mitigar los efectos de la COVID-19 en la capacidad operativa de la entidad y, en particular, las actividades preparatorias que pudieran considerar los puntos de respuesta de seguridad pública/centros de comunicaciones de emergencia. Los procedimientos y acciones presentados en este plan fueron diseñados sobre la base de las recomendaciones de los CDC. </w:t>
      </w:r>
    </w:p>
    <w:p w:rsidR="00980C3E" w:rsidRPr="00980C3E" w:rsidRDefault="00980C3E" w:rsidP="00120192">
      <w:pPr>
        <w:jc w:val="both"/>
        <w:rPr>
          <w:noProof/>
        </w:rPr>
      </w:pPr>
    </w:p>
    <w:p w:rsidR="00980C3E" w:rsidRPr="00980C3E" w:rsidRDefault="00980C3E" w:rsidP="00120192">
      <w:pPr>
        <w:jc w:val="both"/>
        <w:rPr>
          <w:noProof/>
        </w:rPr>
      </w:pPr>
      <w:r>
        <w:t xml:space="preserve">Los gestores de </w:t>
      </w:r>
      <w:bookmarkStart w:id="0" w:name="_Hlk39498074"/>
      <w:r>
        <w:t>los puntos de respuesta de seguridad pública/centros de comunicaciones de emergencia</w:t>
      </w:r>
      <w:bookmarkEnd w:id="0"/>
      <w:r>
        <w:t xml:space="preserve"> deben coordinar las decisiones y acciones de carácter operativo con las entidades de primera intervención a las que prestan servicio, así como con las entidades sanitarias y médicas con las que trabajan. Los gestores de puntos de respuesta de seguridad pública/centros de comunicaciones de emergencia deben formar parte de la estructura del sistema de comando de incidentes locales. </w:t>
      </w:r>
    </w:p>
    <w:p w:rsidR="00980C3E" w:rsidRPr="00980C3E" w:rsidRDefault="00980C3E" w:rsidP="00120192">
      <w:pPr>
        <w:jc w:val="both"/>
        <w:rPr>
          <w:rFonts w:eastAsia="Times New Roman" w:cs="Times New Roman"/>
          <w:noProof/>
          <w:szCs w:val="24"/>
        </w:rPr>
      </w:pPr>
    </w:p>
    <w:p w:rsidR="00980C3E" w:rsidRPr="00980C3E" w:rsidRDefault="00980C3E" w:rsidP="00120192">
      <w:pPr>
        <w:jc w:val="both"/>
        <w:rPr>
          <w:rFonts w:eastAsia="Times New Roman" w:cs="Times New Roman"/>
          <w:noProof/>
          <w:szCs w:val="24"/>
        </w:rPr>
      </w:pPr>
    </w:p>
    <w:p w:rsidR="00980C3E" w:rsidRPr="00980C3E" w:rsidRDefault="00980C3E" w:rsidP="00120192">
      <w:pPr>
        <w:pStyle w:val="Heading1"/>
        <w:ind w:left="720" w:hanging="720"/>
        <w:jc w:val="both"/>
        <w:rPr>
          <w:noProof/>
        </w:rPr>
      </w:pPr>
      <w:r>
        <w:lastRenderedPageBreak/>
        <w:t>Situación</w:t>
      </w:r>
    </w:p>
    <w:p w:rsidR="00980C3E" w:rsidRPr="00980C3E" w:rsidRDefault="00980C3E" w:rsidP="00120192">
      <w:pPr>
        <w:jc w:val="both"/>
        <w:rPr>
          <w:noProof/>
        </w:rPr>
      </w:pPr>
      <w:proofErr w:type="gramStart"/>
      <w:r>
        <w:t>Los virus, incluido</w:t>
      </w:r>
      <w:proofErr w:type="gramEnd"/>
      <w:r>
        <w:t xml:space="preserve"> el que provoca la COVID-19, se transmiten entre personas por tres medios principales: </w:t>
      </w:r>
    </w:p>
    <w:p w:rsidR="00980C3E" w:rsidRPr="00980C3E" w:rsidRDefault="00980C3E" w:rsidP="00120192">
      <w:pPr>
        <w:ind w:firstLine="60"/>
        <w:jc w:val="both"/>
        <w:rPr>
          <w:noProof/>
        </w:rPr>
      </w:pPr>
    </w:p>
    <w:p w:rsidR="00980C3E" w:rsidRPr="00980C3E" w:rsidRDefault="00980C3E" w:rsidP="00120192">
      <w:pPr>
        <w:pStyle w:val="ListParagraph"/>
        <w:numPr>
          <w:ilvl w:val="0"/>
          <w:numId w:val="11"/>
        </w:numPr>
        <w:ind w:left="360"/>
        <w:jc w:val="both"/>
        <w:rPr>
          <w:noProof/>
          <w:vertAlign w:val="superscript"/>
        </w:rPr>
      </w:pPr>
      <w:r>
        <w:t>Mediante la inhalación de partículas cargadas de virus que han sido expulsadas por una persona al respirar, hablar, toser y estornudar</w:t>
      </w:r>
      <w:r w:rsidRPr="00980C3E">
        <w:rPr>
          <w:noProof/>
          <w:vertAlign w:val="superscript"/>
        </w:rPr>
        <w:footnoteReference w:id="4"/>
      </w:r>
      <w:r>
        <w:t>.</w:t>
      </w:r>
    </w:p>
    <w:p w:rsidR="00980C3E" w:rsidRPr="00980C3E" w:rsidRDefault="00980C3E" w:rsidP="00120192">
      <w:pPr>
        <w:ind w:firstLine="60"/>
        <w:jc w:val="both"/>
        <w:rPr>
          <w:noProof/>
          <w:vertAlign w:val="superscript"/>
        </w:rPr>
      </w:pPr>
    </w:p>
    <w:p w:rsidR="00980C3E" w:rsidRPr="00980C3E" w:rsidRDefault="00980C3E" w:rsidP="00120192">
      <w:pPr>
        <w:pStyle w:val="ListParagraph"/>
        <w:numPr>
          <w:ilvl w:val="0"/>
          <w:numId w:val="11"/>
        </w:numPr>
        <w:ind w:left="360"/>
        <w:jc w:val="both"/>
        <w:rPr>
          <w:noProof/>
        </w:rPr>
      </w:pPr>
      <w:r>
        <w:t xml:space="preserve">Por contacto físico directo con personas infectadas (por ejemplo, al estrechar la mano o abrazarse), con lo que se transfiere directamente el virus a la piel y la ropa de la otra persona. </w:t>
      </w:r>
    </w:p>
    <w:p w:rsidR="00980C3E" w:rsidRPr="00980C3E" w:rsidRDefault="00980C3E" w:rsidP="00120192">
      <w:pPr>
        <w:pStyle w:val="ListParagraph"/>
        <w:jc w:val="both"/>
        <w:rPr>
          <w:noProof/>
        </w:rPr>
      </w:pPr>
    </w:p>
    <w:p w:rsidR="00980C3E" w:rsidRPr="00980C3E" w:rsidRDefault="00980C3E" w:rsidP="00120192">
      <w:pPr>
        <w:pStyle w:val="ListParagraph"/>
        <w:numPr>
          <w:ilvl w:val="0"/>
          <w:numId w:val="11"/>
        </w:numPr>
        <w:ind w:left="360"/>
        <w:jc w:val="both"/>
        <w:rPr>
          <w:noProof/>
        </w:rPr>
      </w:pPr>
      <w:r>
        <w:t>A través del contacto físico con una superficie cargada de virus (por ejemplo, las perillas de las puertas, escritorios, teclados) y luego tocarse los ojos, la nariz o la boca.</w:t>
      </w:r>
    </w:p>
    <w:p w:rsidR="00980C3E" w:rsidRPr="00980C3E" w:rsidRDefault="00980C3E" w:rsidP="00120192">
      <w:pPr>
        <w:jc w:val="both"/>
        <w:rPr>
          <w:noProof/>
        </w:rPr>
      </w:pPr>
    </w:p>
    <w:p w:rsidR="00980C3E" w:rsidRPr="00980C3E" w:rsidRDefault="00980C3E" w:rsidP="00120192">
      <w:pPr>
        <w:jc w:val="both"/>
        <w:rPr>
          <w:noProof/>
        </w:rPr>
      </w:pPr>
      <w:bookmarkStart w:id="1" w:name="_Hlk35867691"/>
      <w:r>
        <w:t xml:space="preserve">Los síntomas de COVID-19 pueden aparecer entre 2 y 14 días después de </w:t>
      </w:r>
      <w:r w:rsidR="00783BF0">
        <w:t>la exposición</w:t>
      </w:r>
      <w:r>
        <w:t xml:space="preserve">. Las personas pueden ser contagiosas antes de que aparezcan los síntomas. </w:t>
      </w:r>
      <w:r w:rsidR="000F403D">
        <w:t>Estos</w:t>
      </w:r>
      <w:r>
        <w:t xml:space="preserve"> pueden variar de leves a bastante severos e incluyen los siguientes:</w:t>
      </w:r>
    </w:p>
    <w:p w:rsidR="00980C3E" w:rsidRPr="00980C3E" w:rsidRDefault="00980C3E" w:rsidP="00120192">
      <w:pPr>
        <w:jc w:val="both"/>
        <w:rPr>
          <w:noProof/>
        </w:rPr>
      </w:pPr>
    </w:p>
    <w:p w:rsidR="00980C3E" w:rsidRPr="00980C3E" w:rsidRDefault="00980C3E" w:rsidP="00120192">
      <w:pPr>
        <w:pStyle w:val="MCPBullet2"/>
        <w:numPr>
          <w:ilvl w:val="1"/>
          <w:numId w:val="48"/>
        </w:numPr>
        <w:ind w:left="360"/>
        <w:jc w:val="both"/>
        <w:rPr>
          <w:noProof/>
        </w:rPr>
      </w:pPr>
      <w:r>
        <w:t>Fiebre</w:t>
      </w:r>
    </w:p>
    <w:p w:rsidR="00980C3E" w:rsidRPr="00980C3E" w:rsidRDefault="00980C3E" w:rsidP="00120192">
      <w:pPr>
        <w:pStyle w:val="MCPBullet2"/>
        <w:numPr>
          <w:ilvl w:val="1"/>
          <w:numId w:val="48"/>
        </w:numPr>
        <w:ind w:left="360"/>
        <w:jc w:val="both"/>
        <w:rPr>
          <w:noProof/>
        </w:rPr>
      </w:pPr>
      <w:r>
        <w:t>Escalofríos</w:t>
      </w:r>
    </w:p>
    <w:p w:rsidR="00980C3E" w:rsidRPr="00980C3E" w:rsidRDefault="00980C3E" w:rsidP="00120192">
      <w:pPr>
        <w:pStyle w:val="MCPBullet2"/>
        <w:numPr>
          <w:ilvl w:val="1"/>
          <w:numId w:val="48"/>
        </w:numPr>
        <w:ind w:left="360"/>
        <w:jc w:val="both"/>
        <w:rPr>
          <w:noProof/>
        </w:rPr>
      </w:pPr>
      <w:r>
        <w:t>Sacudidas repetidas con escalofríos</w:t>
      </w:r>
    </w:p>
    <w:p w:rsidR="00980C3E" w:rsidRPr="00980C3E" w:rsidRDefault="00980C3E" w:rsidP="00120192">
      <w:pPr>
        <w:pStyle w:val="MCPBullet2"/>
        <w:numPr>
          <w:ilvl w:val="1"/>
          <w:numId w:val="48"/>
        </w:numPr>
        <w:ind w:left="360"/>
        <w:jc w:val="both"/>
        <w:rPr>
          <w:noProof/>
        </w:rPr>
      </w:pPr>
      <w:r>
        <w:t>Dolor muscular</w:t>
      </w:r>
    </w:p>
    <w:p w:rsidR="00980C3E" w:rsidRPr="00980C3E" w:rsidRDefault="00980C3E" w:rsidP="00120192">
      <w:pPr>
        <w:pStyle w:val="MCPBullet2"/>
        <w:numPr>
          <w:ilvl w:val="1"/>
          <w:numId w:val="48"/>
        </w:numPr>
        <w:ind w:left="360"/>
        <w:jc w:val="both"/>
        <w:rPr>
          <w:noProof/>
        </w:rPr>
      </w:pPr>
      <w:r>
        <w:t>Dolor de cabeza</w:t>
      </w:r>
    </w:p>
    <w:p w:rsidR="00980C3E" w:rsidRPr="00980C3E" w:rsidRDefault="00980C3E" w:rsidP="00120192">
      <w:pPr>
        <w:pStyle w:val="MCPBullet2"/>
        <w:numPr>
          <w:ilvl w:val="1"/>
          <w:numId w:val="48"/>
        </w:numPr>
        <w:ind w:left="360"/>
        <w:jc w:val="both"/>
        <w:rPr>
          <w:noProof/>
        </w:rPr>
      </w:pPr>
      <w:r>
        <w:t>Tos</w:t>
      </w:r>
    </w:p>
    <w:p w:rsidR="00980C3E" w:rsidRPr="00980C3E" w:rsidRDefault="00980C3E" w:rsidP="00120192">
      <w:pPr>
        <w:pStyle w:val="MCPBullet2"/>
        <w:numPr>
          <w:ilvl w:val="1"/>
          <w:numId w:val="48"/>
        </w:numPr>
        <w:ind w:left="360"/>
        <w:jc w:val="both"/>
        <w:rPr>
          <w:noProof/>
        </w:rPr>
      </w:pPr>
      <w:r>
        <w:t>Disnea/dificultad para respirar</w:t>
      </w:r>
    </w:p>
    <w:p w:rsidR="00980C3E" w:rsidRPr="00980C3E" w:rsidRDefault="00980C3E" w:rsidP="00120192">
      <w:pPr>
        <w:pStyle w:val="MCPBullet2"/>
        <w:numPr>
          <w:ilvl w:val="1"/>
          <w:numId w:val="48"/>
        </w:numPr>
        <w:ind w:left="360"/>
        <w:jc w:val="both"/>
        <w:rPr>
          <w:noProof/>
        </w:rPr>
      </w:pPr>
      <w:r>
        <w:t>Fatiga</w:t>
      </w:r>
    </w:p>
    <w:p w:rsidR="00980C3E" w:rsidRPr="00980C3E" w:rsidRDefault="00980C3E" w:rsidP="00120192">
      <w:pPr>
        <w:pStyle w:val="MCPBullet2"/>
        <w:numPr>
          <w:ilvl w:val="1"/>
          <w:numId w:val="48"/>
        </w:numPr>
        <w:ind w:left="360"/>
        <w:jc w:val="both"/>
        <w:rPr>
          <w:noProof/>
        </w:rPr>
      </w:pPr>
      <w:r>
        <w:t>Dolor de garganta</w:t>
      </w:r>
    </w:p>
    <w:p w:rsidR="00980C3E" w:rsidRPr="00980C3E" w:rsidRDefault="001E39ED" w:rsidP="00120192">
      <w:pPr>
        <w:pStyle w:val="MCPBullet2"/>
        <w:numPr>
          <w:ilvl w:val="1"/>
          <w:numId w:val="48"/>
        </w:numPr>
        <w:ind w:left="360"/>
        <w:jc w:val="both"/>
        <w:rPr>
          <w:noProof/>
        </w:rPr>
      </w:pPr>
      <w:r>
        <w:t>Pérdida</w:t>
      </w:r>
      <w:r w:rsidR="00980C3E">
        <w:t xml:space="preserve"> reciente del gusto o del olfato</w:t>
      </w:r>
    </w:p>
    <w:p w:rsidR="00980C3E" w:rsidRPr="00980C3E" w:rsidRDefault="00980C3E" w:rsidP="00120192">
      <w:pPr>
        <w:pStyle w:val="MCPBullet2"/>
        <w:numPr>
          <w:ilvl w:val="1"/>
          <w:numId w:val="48"/>
        </w:numPr>
        <w:ind w:left="360"/>
        <w:jc w:val="both"/>
        <w:rPr>
          <w:noProof/>
        </w:rPr>
      </w:pPr>
      <w:r>
        <w:t xml:space="preserve">Dolor en el pecho </w:t>
      </w:r>
      <w:bookmarkEnd w:id="1"/>
    </w:p>
    <w:p w:rsidR="00980C3E" w:rsidRPr="00980C3E" w:rsidRDefault="00980C3E" w:rsidP="00120192">
      <w:pPr>
        <w:jc w:val="both"/>
        <w:rPr>
          <w:noProof/>
        </w:rPr>
      </w:pPr>
    </w:p>
    <w:p w:rsidR="00980C3E" w:rsidRPr="00980C3E" w:rsidRDefault="00980C3E" w:rsidP="00120192">
      <w:pPr>
        <w:jc w:val="both"/>
        <w:rPr>
          <w:noProof/>
        </w:rPr>
      </w:pPr>
      <w:r>
        <w:t xml:space="preserve">Puede darse el caso de que algunas personas estén </w:t>
      </w:r>
      <w:r w:rsidR="00B90B6E">
        <w:t>i</w:t>
      </w:r>
      <w:r>
        <w:t xml:space="preserve">nfectadas, pero que no experimenten ningún síntoma de la enfermedad. Estos portadores asintomáticos pueden propagar el virus a otros, sin darse cuenta de ello. </w:t>
      </w:r>
    </w:p>
    <w:p w:rsidR="00980C3E" w:rsidRPr="00980C3E" w:rsidRDefault="00980C3E" w:rsidP="00120192">
      <w:pPr>
        <w:jc w:val="both"/>
        <w:rPr>
          <w:noProof/>
        </w:rPr>
      </w:pPr>
    </w:p>
    <w:p w:rsidR="00980C3E" w:rsidRPr="00980C3E" w:rsidRDefault="00980C3E" w:rsidP="00120192">
      <w:pPr>
        <w:jc w:val="both"/>
        <w:rPr>
          <w:noProof/>
        </w:rPr>
      </w:pPr>
      <w:r>
        <w:t xml:space="preserve">Entre los objetivos estratégicos de </w:t>
      </w:r>
      <w:r w:rsidRPr="00E947F9">
        <w:rPr>
          <w:b/>
          <w:bCs/>
        </w:rPr>
        <w:t>[NOMBRE DE LA ENTIDAD]</w:t>
      </w:r>
      <w:r>
        <w:t xml:space="preserve"> durante la actual pandemia de COVID-19 se incluyen los siguientes: </w:t>
      </w:r>
    </w:p>
    <w:p w:rsidR="00980C3E" w:rsidRPr="00980C3E" w:rsidRDefault="00980C3E" w:rsidP="00120192">
      <w:pPr>
        <w:jc w:val="both"/>
        <w:rPr>
          <w:noProof/>
        </w:rPr>
      </w:pPr>
    </w:p>
    <w:p w:rsidR="00980C3E" w:rsidRPr="00980C3E" w:rsidRDefault="00980C3E" w:rsidP="00120192">
      <w:pPr>
        <w:pStyle w:val="ListParagraph"/>
        <w:numPr>
          <w:ilvl w:val="0"/>
          <w:numId w:val="12"/>
        </w:numPr>
        <w:ind w:left="360"/>
        <w:jc w:val="both"/>
        <w:rPr>
          <w:noProof/>
        </w:rPr>
      </w:pPr>
      <w:r>
        <w:t>Mantener la capacidad para continuar las funciones críticas necesarias para apoyar a los equipos de primera intervención y a la comunidad.</w:t>
      </w:r>
    </w:p>
    <w:p w:rsidR="00980C3E" w:rsidRPr="00980C3E" w:rsidRDefault="00980C3E" w:rsidP="00EF7485">
      <w:pPr>
        <w:jc w:val="both"/>
        <w:rPr>
          <w:noProof/>
        </w:rPr>
      </w:pPr>
    </w:p>
    <w:p w:rsidR="00980C3E" w:rsidRPr="00980C3E" w:rsidRDefault="00980C3E" w:rsidP="00120192">
      <w:pPr>
        <w:pStyle w:val="ListParagraph"/>
        <w:numPr>
          <w:ilvl w:val="0"/>
          <w:numId w:val="12"/>
        </w:numPr>
        <w:ind w:left="360"/>
        <w:jc w:val="both"/>
        <w:rPr>
          <w:noProof/>
        </w:rPr>
      </w:pPr>
      <w:r>
        <w:lastRenderedPageBreak/>
        <w:t xml:space="preserve">Proteger al personal reduciendo la exposición al nuevo coronavirus. </w:t>
      </w:r>
    </w:p>
    <w:p w:rsidR="00980C3E" w:rsidRPr="00980C3E" w:rsidRDefault="00980C3E" w:rsidP="00EF7485">
      <w:pPr>
        <w:jc w:val="both"/>
        <w:rPr>
          <w:noProof/>
        </w:rPr>
      </w:pPr>
    </w:p>
    <w:p w:rsidR="00980C3E" w:rsidRPr="00980C3E" w:rsidRDefault="00980C3E" w:rsidP="00120192">
      <w:pPr>
        <w:pStyle w:val="ListParagraph"/>
        <w:numPr>
          <w:ilvl w:val="0"/>
          <w:numId w:val="12"/>
        </w:numPr>
        <w:ind w:left="360"/>
        <w:jc w:val="both"/>
        <w:rPr>
          <w:noProof/>
        </w:rPr>
      </w:pPr>
      <w:r>
        <w:t>Mantener las comunicaciones y coordinar las decisiones de carácter operativo con las entidades a las que sirven los puntos de respuesta de seguridad pública/centros de comunicaciones de emergencia. Comunicar cualquier interrupción en los puntos de respuesta de seguridad pública/centros de comunicaciones de emergencia.</w:t>
      </w:r>
    </w:p>
    <w:p w:rsidR="00980C3E" w:rsidRPr="00980C3E" w:rsidRDefault="00980C3E" w:rsidP="00EF7485">
      <w:pPr>
        <w:jc w:val="both"/>
        <w:rPr>
          <w:noProof/>
        </w:rPr>
      </w:pPr>
    </w:p>
    <w:p w:rsidR="00980C3E" w:rsidRPr="00980C3E" w:rsidRDefault="00980C3E" w:rsidP="00120192">
      <w:pPr>
        <w:pStyle w:val="ListParagraph"/>
        <w:numPr>
          <w:ilvl w:val="0"/>
          <w:numId w:val="12"/>
        </w:numPr>
        <w:ind w:left="360"/>
        <w:jc w:val="both"/>
        <w:rPr>
          <w:noProof/>
        </w:rPr>
      </w:pPr>
      <w:r>
        <w:t>Mantener las comunicaciones y la información pública con la Oficina de Gestión de Emergencias local a fin de esta</w:t>
      </w:r>
      <w:r w:rsidR="00E947F9">
        <w:t>r</w:t>
      </w:r>
      <w:r>
        <w:t xml:space="preserve"> informados de los acontecimientos y la gestión de recursos.</w:t>
      </w:r>
    </w:p>
    <w:p w:rsidR="00980C3E" w:rsidRPr="00980C3E" w:rsidRDefault="00980C3E" w:rsidP="00120192">
      <w:pPr>
        <w:jc w:val="both"/>
        <w:rPr>
          <w:noProof/>
        </w:rPr>
      </w:pPr>
    </w:p>
    <w:p w:rsidR="00980C3E" w:rsidRPr="00980C3E" w:rsidRDefault="00980C3E" w:rsidP="00120192">
      <w:pPr>
        <w:pStyle w:val="ListParagraph"/>
        <w:numPr>
          <w:ilvl w:val="0"/>
          <w:numId w:val="12"/>
        </w:numPr>
        <w:ind w:left="360"/>
        <w:jc w:val="both"/>
        <w:rPr>
          <w:noProof/>
        </w:rPr>
      </w:pPr>
      <w:r>
        <w:t xml:space="preserve">Mantener las comunicaciones y coordinar la información pública con el Departamento de Salud Pública local a fin de obtener, con carácter prioritario, suministros médicos (por ejemplo, vacunas, tratamiento profiláctico) para los funcionarios de los puntos de respuesta de seguridad pública/centros de comunicaciones de emergencia. </w:t>
      </w:r>
    </w:p>
    <w:p w:rsidR="00980C3E" w:rsidRPr="00980C3E" w:rsidRDefault="00980C3E" w:rsidP="00120192">
      <w:pPr>
        <w:jc w:val="both"/>
        <w:rPr>
          <w:noProof/>
        </w:rPr>
      </w:pPr>
    </w:p>
    <w:p w:rsidR="00980C3E" w:rsidRPr="00980C3E" w:rsidRDefault="00980C3E" w:rsidP="00120192">
      <w:pPr>
        <w:jc w:val="both"/>
        <w:rPr>
          <w:noProof/>
        </w:rPr>
      </w:pPr>
    </w:p>
    <w:p w:rsidR="00980C3E" w:rsidRPr="00980C3E" w:rsidRDefault="00980C3E" w:rsidP="00120192">
      <w:pPr>
        <w:pStyle w:val="Heading1"/>
        <w:ind w:left="720" w:hanging="720"/>
        <w:jc w:val="both"/>
        <w:rPr>
          <w:noProof/>
        </w:rPr>
      </w:pPr>
      <w:r>
        <w:t>Supuestos de planificación en caso de una pandemia</w:t>
      </w:r>
    </w:p>
    <w:p w:rsidR="00980C3E" w:rsidRPr="00980C3E" w:rsidRDefault="00980C3E" w:rsidP="00120192">
      <w:pPr>
        <w:jc w:val="both"/>
        <w:rPr>
          <w:noProof/>
        </w:rPr>
      </w:pPr>
      <w:r>
        <w:t>Este plan fue desarrollado sobre la base de los siguientes supuestos:</w:t>
      </w:r>
    </w:p>
    <w:p w:rsidR="00980C3E" w:rsidRPr="00980C3E" w:rsidRDefault="00980C3E" w:rsidP="00120192">
      <w:pPr>
        <w:jc w:val="both"/>
        <w:rPr>
          <w:noProof/>
        </w:rPr>
      </w:pPr>
    </w:p>
    <w:p w:rsidR="00980C3E" w:rsidRPr="00980C3E" w:rsidRDefault="00980C3E" w:rsidP="00120192">
      <w:pPr>
        <w:pStyle w:val="ListParagraph"/>
        <w:numPr>
          <w:ilvl w:val="0"/>
          <w:numId w:val="10"/>
        </w:numPr>
        <w:jc w:val="both"/>
        <w:rPr>
          <w:noProof/>
        </w:rPr>
      </w:pPr>
      <w:r>
        <w:t>Una pandemia es una emergencia de salud pública mundial y es un evento muy dinámico, cuyas condiciones cambian muy rápidamente.</w:t>
      </w:r>
    </w:p>
    <w:p w:rsidR="00980C3E" w:rsidRPr="00980C3E" w:rsidRDefault="00980C3E" w:rsidP="00120192">
      <w:pPr>
        <w:pStyle w:val="ListParagraph"/>
        <w:numPr>
          <w:ilvl w:val="0"/>
          <w:numId w:val="10"/>
        </w:numPr>
        <w:jc w:val="both"/>
        <w:rPr>
          <w:noProof/>
        </w:rPr>
      </w:pPr>
      <w:r>
        <w:t>La transmisión de persona a persona del nuevo coronavirus ha causado una pandemia que se ha extendido por todo el mundo.</w:t>
      </w:r>
    </w:p>
    <w:p w:rsidR="00980C3E" w:rsidRPr="00980C3E" w:rsidRDefault="00980C3E" w:rsidP="00120192">
      <w:pPr>
        <w:pStyle w:val="ListParagraph"/>
        <w:numPr>
          <w:ilvl w:val="0"/>
          <w:numId w:val="10"/>
        </w:numPr>
        <w:jc w:val="both"/>
        <w:rPr>
          <w:b/>
          <w:noProof/>
        </w:rPr>
      </w:pPr>
      <w:r>
        <w:rPr>
          <w:b/>
        </w:rPr>
        <w:t>El nuevo coronavirus se ha propagado por todo el mundo y podría dar lugar a varias oleadas de la enfermedad COVID-19</w:t>
      </w:r>
      <w:r w:rsidR="00E947F9">
        <w:rPr>
          <w:b/>
        </w:rPr>
        <w:t>,</w:t>
      </w:r>
      <w:r>
        <w:rPr>
          <w:b/>
        </w:rPr>
        <w:t xml:space="preserve"> que se prolongaría</w:t>
      </w:r>
      <w:r w:rsidR="00E947F9">
        <w:rPr>
          <w:b/>
        </w:rPr>
        <w:t>n</w:t>
      </w:r>
      <w:r>
        <w:rPr>
          <w:b/>
        </w:rPr>
        <w:t xml:space="preserve"> durante 6 a 18 meses.</w:t>
      </w:r>
    </w:p>
    <w:p w:rsidR="00980C3E" w:rsidRPr="00980C3E" w:rsidRDefault="00980C3E" w:rsidP="00120192">
      <w:pPr>
        <w:pStyle w:val="ListParagraph"/>
        <w:numPr>
          <w:ilvl w:val="0"/>
          <w:numId w:val="10"/>
        </w:numPr>
        <w:jc w:val="both"/>
        <w:rPr>
          <w:noProof/>
        </w:rPr>
      </w:pPr>
      <w:r>
        <w:t xml:space="preserve">Todavía no se </w:t>
      </w:r>
      <w:r w:rsidR="00E947F9">
        <w:t>cuentan con</w:t>
      </w:r>
      <w:r>
        <w:t xml:space="preserve"> medicamentos antivirales para tratar a los enfermos ni se han desarrollado vacunas para prevenir la transmisión del virus.</w:t>
      </w:r>
    </w:p>
    <w:p w:rsidR="00980C3E" w:rsidRPr="00980C3E" w:rsidRDefault="00980C3E" w:rsidP="00120192">
      <w:pPr>
        <w:pStyle w:val="ListParagraph"/>
        <w:numPr>
          <w:ilvl w:val="0"/>
          <w:numId w:val="10"/>
        </w:numPr>
        <w:jc w:val="both"/>
        <w:rPr>
          <w:noProof/>
        </w:rPr>
      </w:pPr>
      <w:r>
        <w:t>Los puntos de respuesta de seguridad pública/centros de comunicaciones de emergencia podrían experimentar una escasez de personal en caso de que éste se enfermara, que tuvieran que atender a sus familiares, que pidieran un cambio en sus funciones o incluso que pudieran abandonar sus puestos de trabajo.</w:t>
      </w:r>
    </w:p>
    <w:p w:rsidR="00980C3E" w:rsidRPr="00980C3E" w:rsidRDefault="00980C3E" w:rsidP="00120192">
      <w:pPr>
        <w:pStyle w:val="ListParagraph"/>
        <w:numPr>
          <w:ilvl w:val="0"/>
          <w:numId w:val="10"/>
        </w:numPr>
        <w:jc w:val="both"/>
        <w:rPr>
          <w:noProof/>
        </w:rPr>
      </w:pPr>
      <w:r>
        <w:t>Los administradores de los puntos de respuesta de seguridad pública/centros de comunicaciones de emergencia tendrían que evaluar continuamente las necesidades de personal en función de las condiciones de la comunidad y la disponibilidad de personal cualificado.</w:t>
      </w:r>
    </w:p>
    <w:p w:rsidR="00980C3E" w:rsidRPr="00980C3E" w:rsidRDefault="00980C3E" w:rsidP="00120192">
      <w:pPr>
        <w:pStyle w:val="ListParagraph"/>
        <w:numPr>
          <w:ilvl w:val="0"/>
          <w:numId w:val="10"/>
        </w:numPr>
        <w:jc w:val="both"/>
        <w:rPr>
          <w:noProof/>
        </w:rPr>
      </w:pPr>
      <w:r>
        <w:t xml:space="preserve">Los directores de puntos de respuesta de seguridad pública/centros de comunicaciones de emergencia tendrían que coordinarse con el control médico local/dirección médica local a fin de modificar los protocolos de respuesta a las llamadas y los envíos de asistencia médica de emergencia en función de las cambiantes condiciones. </w:t>
      </w:r>
    </w:p>
    <w:p w:rsidR="00980C3E" w:rsidRPr="00980C3E" w:rsidRDefault="00980C3E" w:rsidP="00120192">
      <w:pPr>
        <w:pStyle w:val="ListParagraph"/>
        <w:numPr>
          <w:ilvl w:val="0"/>
          <w:numId w:val="10"/>
        </w:numPr>
        <w:jc w:val="both"/>
        <w:rPr>
          <w:noProof/>
        </w:rPr>
      </w:pPr>
      <w:r>
        <w:t xml:space="preserve">Es probable que </w:t>
      </w:r>
      <w:r w:rsidR="00EF64AA">
        <w:t>los puntos</w:t>
      </w:r>
      <w:r>
        <w:t xml:space="preserve"> de respuesta de seguridad pública/centros de comunicaciones de emergencia experimenten un aumento en el volumen de llamadas de emergencias </w:t>
      </w:r>
      <w:r>
        <w:lastRenderedPageBreak/>
        <w:t>médicas y preguntas relacionadas con órdenes de emergencia, tratamiento médico y pruebas clínicas.</w:t>
      </w:r>
    </w:p>
    <w:p w:rsidR="00980C3E" w:rsidRPr="00980C3E" w:rsidRDefault="00980C3E" w:rsidP="00120192">
      <w:pPr>
        <w:pStyle w:val="ListParagraph"/>
        <w:numPr>
          <w:ilvl w:val="0"/>
          <w:numId w:val="10"/>
        </w:numPr>
        <w:jc w:val="both"/>
        <w:rPr>
          <w:noProof/>
        </w:rPr>
      </w:pPr>
      <w:r>
        <w:t>También es probable que se modifiquen los procedimientos de despacho de llamadas en función de las condiciones de la comunidad y de la demanda de servicios de seguridad pública.</w:t>
      </w:r>
    </w:p>
    <w:p w:rsidR="00980C3E" w:rsidRPr="00980C3E" w:rsidRDefault="00980C3E" w:rsidP="00120192">
      <w:pPr>
        <w:pStyle w:val="ListParagraph"/>
        <w:numPr>
          <w:ilvl w:val="0"/>
          <w:numId w:val="10"/>
        </w:numPr>
        <w:jc w:val="both"/>
        <w:rPr>
          <w:noProof/>
        </w:rPr>
      </w:pPr>
      <w:r>
        <w:t xml:space="preserve">Los proveedores de servicios de urgencias médicas y los hospitales ya están, o pronto estarán, operando a su capacidad o por encima de ella debido a una oleada de pacientes con enfermedades respiratorias. </w:t>
      </w:r>
    </w:p>
    <w:p w:rsidR="00980C3E" w:rsidRPr="00980C3E" w:rsidRDefault="00980C3E" w:rsidP="00120192">
      <w:pPr>
        <w:pStyle w:val="ListParagraph"/>
        <w:numPr>
          <w:ilvl w:val="0"/>
          <w:numId w:val="10"/>
        </w:numPr>
        <w:jc w:val="both"/>
        <w:rPr>
          <w:noProof/>
        </w:rPr>
      </w:pPr>
      <w:r>
        <w:t>Puede que sea necesario cambiar los procedimientos de despacho conforme evolucione la situación.</w:t>
      </w:r>
    </w:p>
    <w:p w:rsidR="00980C3E" w:rsidRPr="00980C3E" w:rsidRDefault="00980C3E" w:rsidP="00120192">
      <w:pPr>
        <w:pStyle w:val="ListParagraph"/>
        <w:numPr>
          <w:ilvl w:val="0"/>
          <w:numId w:val="10"/>
        </w:numPr>
        <w:jc w:val="both"/>
        <w:rPr>
          <w:noProof/>
        </w:rPr>
      </w:pPr>
      <w:r>
        <w:t xml:space="preserve">Los funcionarios de los </w:t>
      </w:r>
      <w:r w:rsidR="00E947F9">
        <w:t>G</w:t>
      </w:r>
      <w:r>
        <w:t>obiernos federal, estatal y local han emitido ya varias declaraciones de desastre y han recomendado diversas medidas voluntarias con la finalidad de controlar la propagación de la enfermedad.</w:t>
      </w:r>
    </w:p>
    <w:p w:rsidR="00980C3E" w:rsidRPr="00980C3E" w:rsidRDefault="00980C3E" w:rsidP="00120192">
      <w:pPr>
        <w:pStyle w:val="ListParagraph"/>
        <w:numPr>
          <w:ilvl w:val="0"/>
          <w:numId w:val="10"/>
        </w:numPr>
        <w:jc w:val="both"/>
        <w:rPr>
          <w:noProof/>
        </w:rPr>
      </w:pPr>
      <w:r>
        <w:t xml:space="preserve">Los funcionarios </w:t>
      </w:r>
      <w:proofErr w:type="gramStart"/>
      <w:r>
        <w:t>de los gobiernos federal</w:t>
      </w:r>
      <w:proofErr w:type="gramEnd"/>
      <w:r>
        <w:t>, estatal y local han promulgado también varias órdenes de emergencia encaminadas a cerrar los negocios no esenciales y escuelas, así como limitar los encuentros sociales.</w:t>
      </w:r>
    </w:p>
    <w:p w:rsidR="00980C3E" w:rsidRPr="00980C3E" w:rsidRDefault="00980C3E" w:rsidP="00120192">
      <w:pPr>
        <w:pStyle w:val="ListParagraph"/>
        <w:numPr>
          <w:ilvl w:val="0"/>
          <w:numId w:val="10"/>
        </w:numPr>
        <w:jc w:val="both"/>
        <w:rPr>
          <w:noProof/>
        </w:rPr>
      </w:pPr>
      <w:r>
        <w:t xml:space="preserve">Los funcionarios de los </w:t>
      </w:r>
      <w:r w:rsidR="00E947F9">
        <w:t>G</w:t>
      </w:r>
      <w:r>
        <w:t xml:space="preserve">obiernos federal, estatal y local han promulgado varias órdenes de emergencia con las que se exige que las personas utilicen mascarillas u </w:t>
      </w:r>
      <w:r w:rsidR="00EF64AA">
        <w:t>otros tipos</w:t>
      </w:r>
      <w:r>
        <w:t xml:space="preserve"> de protectores sobre su vestimenta </w:t>
      </w:r>
      <w:r w:rsidR="00E947F9">
        <w:t xml:space="preserve">cuando </w:t>
      </w:r>
      <w:r>
        <w:t>estén en público.</w:t>
      </w:r>
    </w:p>
    <w:p w:rsidR="00980C3E" w:rsidRPr="00980C3E" w:rsidRDefault="00980C3E" w:rsidP="00120192">
      <w:pPr>
        <w:pStyle w:val="ListParagraph"/>
        <w:numPr>
          <w:ilvl w:val="0"/>
          <w:numId w:val="10"/>
        </w:numPr>
        <w:jc w:val="both"/>
        <w:rPr>
          <w:noProof/>
        </w:rPr>
      </w:pPr>
      <w:r>
        <w:t xml:space="preserve">El inventario de suministros médicos críticos, incluidos guantes y mascarillas, podría verse afectado. </w:t>
      </w:r>
    </w:p>
    <w:p w:rsidR="00980C3E" w:rsidRPr="00980C3E" w:rsidRDefault="00980C3E" w:rsidP="00120192">
      <w:pPr>
        <w:pStyle w:val="ListParagraph"/>
        <w:numPr>
          <w:ilvl w:val="0"/>
          <w:numId w:val="10"/>
        </w:numPr>
        <w:jc w:val="both"/>
        <w:rPr>
          <w:noProof/>
        </w:rPr>
      </w:pPr>
      <w:r>
        <w:t>El público está compitiendo por un suministro limitado de artículos para el hogar, lo que incluye productos de papel, materiales de limpieza y desinfectantes.</w:t>
      </w:r>
    </w:p>
    <w:p w:rsidR="00980C3E" w:rsidRPr="00980C3E" w:rsidRDefault="00980C3E" w:rsidP="00120192">
      <w:pPr>
        <w:pStyle w:val="ListParagraph"/>
        <w:numPr>
          <w:ilvl w:val="0"/>
          <w:numId w:val="10"/>
        </w:numPr>
        <w:jc w:val="both"/>
        <w:rPr>
          <w:noProof/>
        </w:rPr>
      </w:pPr>
      <w:r>
        <w:t>Algunas tiendas de comestibles están experimentando una escasez de alimentos básicos.</w:t>
      </w:r>
    </w:p>
    <w:p w:rsidR="00980C3E" w:rsidRPr="00980C3E" w:rsidRDefault="00980C3E" w:rsidP="00120192">
      <w:pPr>
        <w:pStyle w:val="ListParagraph"/>
        <w:numPr>
          <w:ilvl w:val="0"/>
          <w:numId w:val="10"/>
        </w:numPr>
        <w:jc w:val="both"/>
        <w:rPr>
          <w:noProof/>
        </w:rPr>
      </w:pPr>
      <w:r>
        <w:t>Los funcionarios de salud pública han exigido a las personas que practiquen el distanciamiento social o la separación física (es decir, que mantengan una distancia de aproximadamente dos metros entre personas).</w:t>
      </w:r>
    </w:p>
    <w:p w:rsidR="00980C3E" w:rsidRPr="00980C3E" w:rsidRDefault="00980C3E" w:rsidP="00120192">
      <w:pPr>
        <w:pStyle w:val="ListParagraph"/>
        <w:numPr>
          <w:ilvl w:val="0"/>
          <w:numId w:val="10"/>
        </w:numPr>
        <w:jc w:val="both"/>
        <w:rPr>
          <w:noProof/>
        </w:rPr>
      </w:pPr>
      <w:r>
        <w:t>Los sistemas escolares han cerrado, o podrían cerrarse pronto, lo que afecta a los empleados que son padres de niños en edad escolar.</w:t>
      </w:r>
    </w:p>
    <w:p w:rsidR="00980C3E" w:rsidRPr="00980C3E" w:rsidRDefault="00980C3E" w:rsidP="00120192">
      <w:pPr>
        <w:pStyle w:val="ListParagraph"/>
        <w:numPr>
          <w:ilvl w:val="0"/>
          <w:numId w:val="10"/>
        </w:numPr>
        <w:jc w:val="both"/>
        <w:rPr>
          <w:noProof/>
        </w:rPr>
      </w:pPr>
      <w:r>
        <w:t>Es posible que los puntos de respuesta de seguridad pública/centros de comunicaciones de emergencia ubicados en áreas que experimentan emergencias estacionales</w:t>
      </w:r>
      <w:r w:rsidR="00E947F9">
        <w:t xml:space="preserve"> (</w:t>
      </w:r>
      <w:r>
        <w:t>huracanes,</w:t>
      </w:r>
      <w:r w:rsidR="00E947F9">
        <w:t xml:space="preserve"> por ejemplo)</w:t>
      </w:r>
      <w:r>
        <w:t xml:space="preserve"> tengan que prepararse para dar una respuesta simultánea.</w:t>
      </w:r>
    </w:p>
    <w:p w:rsidR="00980C3E" w:rsidRPr="00980C3E" w:rsidRDefault="00980C3E" w:rsidP="00120192">
      <w:pPr>
        <w:jc w:val="both"/>
        <w:rPr>
          <w:noProof/>
        </w:rPr>
      </w:pPr>
    </w:p>
    <w:p w:rsidR="00980C3E" w:rsidRPr="00980C3E" w:rsidRDefault="00980C3E" w:rsidP="00120192">
      <w:pPr>
        <w:jc w:val="both"/>
        <w:rPr>
          <w:noProof/>
        </w:rPr>
      </w:pPr>
    </w:p>
    <w:p w:rsidR="00980C3E" w:rsidRPr="00980C3E" w:rsidRDefault="00980C3E" w:rsidP="00120192">
      <w:pPr>
        <w:pStyle w:val="Heading1"/>
        <w:ind w:left="720" w:hanging="720"/>
        <w:jc w:val="both"/>
        <w:rPr>
          <w:noProof/>
        </w:rPr>
      </w:pPr>
      <w:r>
        <w:t>Concepto de las operaciones</w:t>
      </w:r>
    </w:p>
    <w:p w:rsidR="00980C3E" w:rsidRPr="00980C3E" w:rsidRDefault="00980C3E" w:rsidP="00120192">
      <w:pPr>
        <w:jc w:val="both"/>
        <w:rPr>
          <w:noProof/>
        </w:rPr>
      </w:pPr>
      <w:r>
        <w:t>La pandemia de COVID-19 surgió precipitadamente en los Estados Unidos y no hubo tiempo para prepararse. Los CDC han desarrollado un marco</w:t>
      </w:r>
      <w:r>
        <w:rPr>
          <w:i/>
          <w:vertAlign w:val="superscript"/>
        </w:rPr>
        <w:t xml:space="preserve"> </w:t>
      </w:r>
      <w:r>
        <w:t>de preparación y respuesta</w:t>
      </w:r>
      <w:r w:rsidRPr="00980C3E">
        <w:rPr>
          <w:i/>
          <w:iCs/>
          <w:noProof/>
          <w:vertAlign w:val="superscript"/>
        </w:rPr>
        <w:footnoteReference w:id="5"/>
      </w:r>
      <w:r>
        <w:t xml:space="preserve"> en el que se definen seis etapas o intervalos en los que p</w:t>
      </w:r>
      <w:r w:rsidR="00E947F9">
        <w:t>uede</w:t>
      </w:r>
      <w:r>
        <w:t xml:space="preserve"> evolucionar una pandemia. Las tareas de </w:t>
      </w:r>
      <w:r>
        <w:lastRenderedPageBreak/>
        <w:t>respuesta presentadas en este plan se ajustan a los intervalos presentados en el gráfico 1 y descritos en el cuadro 1.</w:t>
      </w:r>
    </w:p>
    <w:p w:rsidR="00980C3E" w:rsidRDefault="00980C3E" w:rsidP="00980C3E">
      <w:pPr>
        <w:rPr>
          <w:noProof/>
        </w:rPr>
      </w:pPr>
    </w:p>
    <w:p w:rsidR="00514BA5" w:rsidRDefault="00514BA5" w:rsidP="00980C3E">
      <w:pPr>
        <w:rPr>
          <w:noProof/>
        </w:rPr>
      </w:pPr>
      <w:r>
        <w:rPr>
          <w:noProof/>
          <w:lang w:val="en-US" w:eastAsia="zh-CN"/>
        </w:rPr>
        <w:drawing>
          <wp:inline distT="0" distB="0" distL="0" distR="0" wp14:anchorId="76FA807A">
            <wp:extent cx="6707875" cy="3552332"/>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708594" cy="3552713"/>
                    </a:xfrm>
                    <a:prstGeom prst="rect">
                      <a:avLst/>
                    </a:prstGeom>
                    <a:noFill/>
                  </pic:spPr>
                </pic:pic>
              </a:graphicData>
            </a:graphic>
          </wp:inline>
        </w:drawing>
      </w:r>
    </w:p>
    <w:p w:rsidR="00514BA5" w:rsidRDefault="00980C3E" w:rsidP="00514BA5">
      <w:pPr>
        <w:pStyle w:val="Caption"/>
        <w:jc w:val="left"/>
      </w:pPr>
      <w:r>
        <w:t xml:space="preserve">Gráfico </w:t>
      </w:r>
      <w:r w:rsidR="002A5798">
        <w:fldChar w:fldCharType="begin"/>
      </w:r>
      <w:r w:rsidR="002A5798">
        <w:instrText xml:space="preserve"> SEQ Figure \* ARABIC </w:instrText>
      </w:r>
      <w:r w:rsidR="002A5798">
        <w:fldChar w:fldCharType="separate"/>
      </w:r>
      <w:r w:rsidRPr="00980C3E">
        <w:t>1</w:t>
      </w:r>
      <w:r w:rsidR="002A5798">
        <w:fldChar w:fldCharType="end"/>
      </w:r>
      <w:r>
        <w:t>: Intervalos de la pandemia (</w:t>
      </w:r>
      <w:r w:rsidR="00E947F9">
        <w:t>CDC</w:t>
      </w:r>
      <w:r>
        <w:t>)</w:t>
      </w:r>
    </w:p>
    <w:p w:rsidR="00514BA5" w:rsidRPr="00514BA5" w:rsidRDefault="00514BA5" w:rsidP="00514BA5"/>
    <w:p w:rsidR="00980C3E" w:rsidRPr="00514BA5" w:rsidRDefault="00980C3E" w:rsidP="00514BA5">
      <w:pPr>
        <w:pStyle w:val="Caption"/>
        <w:jc w:val="left"/>
        <w:rPr>
          <w:rFonts w:eastAsiaTheme="minorHAnsi" w:cs="Arial"/>
          <w:bCs w:val="0"/>
          <w:sz w:val="22"/>
          <w:szCs w:val="21"/>
        </w:rPr>
      </w:pPr>
      <w:r w:rsidRPr="00514BA5">
        <w:rPr>
          <w:rFonts w:eastAsiaTheme="minorHAnsi" w:cs="Arial"/>
          <w:bCs w:val="0"/>
          <w:sz w:val="22"/>
          <w:szCs w:val="21"/>
        </w:rPr>
        <w:t xml:space="preserve">Aunque se han publicado varios modelos sobre un segundo brote, no hay datos oficiales sobre un marco temporal. Los CDC han publicado el siguiente gráfico con base en los datos de la gripe de 1918 y el resurgimiento que se experimentó. </w:t>
      </w:r>
    </w:p>
    <w:p w:rsidR="00980C3E" w:rsidRPr="00980C3E" w:rsidRDefault="00980C3E" w:rsidP="00980C3E">
      <w:pPr>
        <w:keepNext/>
        <w:keepLines/>
        <w:rPr>
          <w:noProof/>
        </w:rPr>
      </w:pPr>
    </w:p>
    <w:p w:rsidR="00980C3E" w:rsidRPr="00980C3E" w:rsidRDefault="00514BA5" w:rsidP="00980C3E">
      <w:pPr>
        <w:keepNext/>
        <w:keepLines/>
        <w:jc w:val="center"/>
        <w:rPr>
          <w:noProof/>
        </w:rPr>
      </w:pPr>
      <w:r>
        <w:rPr>
          <w:noProof/>
          <w:lang w:val="en-US" w:eastAsia="zh-CN"/>
        </w:rPr>
        <w:drawing>
          <wp:inline distT="0" distB="0" distL="0" distR="0" wp14:anchorId="03D3F1D4">
            <wp:extent cx="5365115" cy="2651760"/>
            <wp:effectExtent l="0" t="0" r="698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65115" cy="2651760"/>
                    </a:xfrm>
                    <a:prstGeom prst="rect">
                      <a:avLst/>
                    </a:prstGeom>
                    <a:noFill/>
                  </pic:spPr>
                </pic:pic>
              </a:graphicData>
            </a:graphic>
          </wp:inline>
        </w:drawing>
      </w:r>
    </w:p>
    <w:p w:rsidR="00980C3E" w:rsidRPr="00980C3E" w:rsidRDefault="00980C3E" w:rsidP="00980C3E">
      <w:pPr>
        <w:pStyle w:val="Caption"/>
        <w:rPr>
          <w:noProof/>
        </w:rPr>
      </w:pPr>
      <w:r>
        <w:t xml:space="preserve">Gráfico </w:t>
      </w:r>
      <w:r w:rsidR="002A5798">
        <w:fldChar w:fldCharType="begin"/>
      </w:r>
      <w:r w:rsidR="002A5798">
        <w:instrText xml:space="preserve"> SEQ Figure \* ARABIC </w:instrText>
      </w:r>
      <w:r w:rsidR="002A5798">
        <w:fldChar w:fldCharType="separate"/>
      </w:r>
      <w:r w:rsidRPr="00980C3E">
        <w:t>2</w:t>
      </w:r>
      <w:r w:rsidR="002A5798">
        <w:fldChar w:fldCharType="end"/>
      </w:r>
      <w:r>
        <w:t xml:space="preserve">: Segundo brote gripe pandémica </w:t>
      </w:r>
      <w:r w:rsidR="00E947F9">
        <w:t>en</w:t>
      </w:r>
      <w:r>
        <w:t xml:space="preserve"> 1918</w:t>
      </w:r>
      <w:r w:rsidRPr="00980C3E">
        <w:rPr>
          <w:rStyle w:val="FootnoteReference"/>
          <w:noProof/>
        </w:rPr>
        <w:footnoteReference w:id="6"/>
      </w:r>
    </w:p>
    <w:p w:rsidR="00980C3E" w:rsidRPr="00980C3E" w:rsidRDefault="00980C3E" w:rsidP="00980C3E">
      <w:pPr>
        <w:spacing w:line="240" w:lineRule="auto"/>
        <w:rPr>
          <w:noProof/>
        </w:rPr>
      </w:pPr>
      <w:r>
        <w:br w:type="page"/>
      </w:r>
    </w:p>
    <w:p w:rsidR="00980C3E" w:rsidRPr="00980C3E" w:rsidRDefault="00980C3E" w:rsidP="00980C3E">
      <w:pPr>
        <w:pStyle w:val="Caption"/>
        <w:keepNext/>
        <w:rPr>
          <w:noProof/>
        </w:rPr>
      </w:pPr>
      <w:r>
        <w:lastRenderedPageBreak/>
        <w:t xml:space="preserve">Cuadro </w:t>
      </w:r>
      <w:r w:rsidR="002A5798">
        <w:fldChar w:fldCharType="begin"/>
      </w:r>
      <w:r w:rsidR="002A5798">
        <w:instrText xml:space="preserve"> SEQ Table \* ARABIC </w:instrText>
      </w:r>
      <w:r w:rsidR="002A5798">
        <w:fldChar w:fldCharType="separate"/>
      </w:r>
      <w:r w:rsidRPr="00980C3E">
        <w:t>1</w:t>
      </w:r>
      <w:r w:rsidR="002A5798">
        <w:fldChar w:fldCharType="end"/>
      </w:r>
      <w:r>
        <w:t>: Cuadro de intervalos de pandemia (CDC)</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20" w:firstRow="1" w:lastRow="0" w:firstColumn="0" w:lastColumn="0" w:noHBand="0" w:noVBand="0"/>
      </w:tblPr>
      <w:tblGrid>
        <w:gridCol w:w="2512"/>
        <w:gridCol w:w="3330"/>
        <w:gridCol w:w="3502"/>
      </w:tblGrid>
      <w:tr w:rsidR="00980C3E" w:rsidRPr="00980C3E" w:rsidTr="000F403D">
        <w:trPr>
          <w:cantSplit/>
          <w:trHeight w:val="342"/>
          <w:tblHeader/>
        </w:trPr>
        <w:tc>
          <w:tcPr>
            <w:tcW w:w="9344" w:type="dxa"/>
            <w:gridSpan w:val="3"/>
            <w:tcBorders>
              <w:bottom w:val="single" w:sz="4" w:space="0" w:color="auto"/>
            </w:tcBorders>
            <w:shd w:val="clear" w:color="auto" w:fill="44546A"/>
            <w:vAlign w:val="center"/>
          </w:tcPr>
          <w:p w:rsidR="00980C3E" w:rsidRPr="00980C3E" w:rsidRDefault="00980C3E" w:rsidP="000F403D">
            <w:pPr>
              <w:ind w:left="-750"/>
              <w:jc w:val="center"/>
              <w:rPr>
                <w:rFonts w:eastAsia="Times New Roman" w:cs="Calibri"/>
                <w:b/>
                <w:bCs/>
                <w:caps/>
                <w:noProof/>
                <w:color w:val="FFFFFF"/>
                <w:szCs w:val="24"/>
              </w:rPr>
            </w:pPr>
            <w:r>
              <w:rPr>
                <w:b/>
                <w:caps/>
                <w:color w:val="FFFFFF"/>
              </w:rPr>
              <w:t xml:space="preserve">Intervalos de pandemia (CDC) </w:t>
            </w:r>
          </w:p>
        </w:tc>
      </w:tr>
      <w:tr w:rsidR="00980C3E" w:rsidRPr="00980C3E" w:rsidTr="000F403D">
        <w:trPr>
          <w:cantSplit/>
          <w:trHeight w:val="458"/>
          <w:tblHeader/>
        </w:trPr>
        <w:tc>
          <w:tcPr>
            <w:tcW w:w="2512" w:type="dxa"/>
            <w:tcBorders>
              <w:top w:val="single" w:sz="4" w:space="0" w:color="auto"/>
              <w:left w:val="single" w:sz="4" w:space="0" w:color="auto"/>
              <w:bottom w:val="single" w:sz="4" w:space="0" w:color="auto"/>
              <w:right w:val="single" w:sz="4" w:space="0" w:color="auto"/>
            </w:tcBorders>
            <w:shd w:val="clear" w:color="auto" w:fill="CCCCCC"/>
            <w:vAlign w:val="center"/>
          </w:tcPr>
          <w:p w:rsidR="00980C3E" w:rsidRPr="00980C3E" w:rsidRDefault="00980C3E" w:rsidP="000F403D">
            <w:pPr>
              <w:jc w:val="center"/>
              <w:rPr>
                <w:rFonts w:eastAsia="Times New Roman" w:cs="Calibri"/>
                <w:b/>
                <w:bCs/>
                <w:caps/>
                <w:noProof/>
                <w:sz w:val="20"/>
                <w:szCs w:val="24"/>
              </w:rPr>
            </w:pPr>
            <w:r>
              <w:rPr>
                <w:b/>
                <w:caps/>
                <w:sz w:val="20"/>
              </w:rPr>
              <w:t>Intervalo</w:t>
            </w:r>
          </w:p>
        </w:tc>
        <w:tc>
          <w:tcPr>
            <w:tcW w:w="3330" w:type="dxa"/>
            <w:tcBorders>
              <w:top w:val="single" w:sz="4" w:space="0" w:color="auto"/>
              <w:left w:val="single" w:sz="4" w:space="0" w:color="auto"/>
              <w:bottom w:val="single" w:sz="4" w:space="0" w:color="auto"/>
              <w:right w:val="single" w:sz="4" w:space="0" w:color="auto"/>
            </w:tcBorders>
            <w:shd w:val="clear" w:color="auto" w:fill="CCCCCC"/>
            <w:vAlign w:val="center"/>
          </w:tcPr>
          <w:p w:rsidR="00980C3E" w:rsidRPr="00980C3E" w:rsidRDefault="00980C3E" w:rsidP="000F403D">
            <w:pPr>
              <w:jc w:val="center"/>
              <w:rPr>
                <w:rFonts w:eastAsia="Times New Roman" w:cs="Calibri"/>
                <w:b/>
                <w:bCs/>
                <w:caps/>
                <w:noProof/>
                <w:sz w:val="20"/>
                <w:szCs w:val="24"/>
              </w:rPr>
            </w:pPr>
            <w:r>
              <w:rPr>
                <w:b/>
                <w:caps/>
                <w:sz w:val="20"/>
              </w:rPr>
              <w:t>Definición</w:t>
            </w:r>
          </w:p>
        </w:tc>
        <w:tc>
          <w:tcPr>
            <w:tcW w:w="3502" w:type="dxa"/>
            <w:tcBorders>
              <w:top w:val="single" w:sz="4" w:space="0" w:color="auto"/>
              <w:left w:val="single" w:sz="4" w:space="0" w:color="auto"/>
              <w:bottom w:val="single" w:sz="4" w:space="0" w:color="auto"/>
              <w:right w:val="single" w:sz="4" w:space="0" w:color="auto"/>
            </w:tcBorders>
            <w:shd w:val="clear" w:color="auto" w:fill="CCCCCC"/>
            <w:vAlign w:val="center"/>
          </w:tcPr>
          <w:p w:rsidR="00980C3E" w:rsidRPr="00980C3E" w:rsidRDefault="00980C3E" w:rsidP="000F403D">
            <w:pPr>
              <w:jc w:val="center"/>
              <w:rPr>
                <w:rFonts w:eastAsia="Times New Roman" w:cs="Calibri"/>
                <w:b/>
                <w:bCs/>
                <w:caps/>
                <w:noProof/>
                <w:sz w:val="20"/>
                <w:szCs w:val="24"/>
              </w:rPr>
            </w:pPr>
            <w:r>
              <w:rPr>
                <w:b/>
                <w:caps/>
                <w:sz w:val="20"/>
              </w:rPr>
              <w:t>Acciones de respuesta de los puntos de respuesta de seguridad pública/centros de comunicaciones de emergencia</w:t>
            </w:r>
          </w:p>
        </w:tc>
      </w:tr>
      <w:tr w:rsidR="00980C3E" w:rsidRPr="00980C3E" w:rsidTr="000F403D">
        <w:trPr>
          <w:cantSplit/>
          <w:trHeight w:val="423"/>
        </w:trPr>
        <w:tc>
          <w:tcPr>
            <w:tcW w:w="9344" w:type="dxa"/>
            <w:gridSpan w:val="3"/>
            <w:tcBorders>
              <w:top w:val="single" w:sz="4" w:space="0" w:color="auto"/>
            </w:tcBorders>
            <w:shd w:val="clear" w:color="auto" w:fill="CCCCCC"/>
            <w:vAlign w:val="center"/>
          </w:tcPr>
          <w:p w:rsidR="00980C3E" w:rsidRPr="00980C3E" w:rsidRDefault="00980C3E" w:rsidP="000F403D">
            <w:pPr>
              <w:rPr>
                <w:rFonts w:eastAsia="Times New Roman" w:cs="Calibri"/>
                <w:b/>
                <w:bCs/>
                <w:noProof/>
                <w:sz w:val="20"/>
                <w:szCs w:val="24"/>
              </w:rPr>
            </w:pPr>
            <w:r>
              <w:rPr>
                <w:b/>
                <w:sz w:val="20"/>
              </w:rPr>
              <w:t>Intervalos previos a la pandemia</w:t>
            </w:r>
          </w:p>
        </w:tc>
      </w:tr>
      <w:tr w:rsidR="00980C3E" w:rsidRPr="00980C3E" w:rsidTr="000F403D">
        <w:trPr>
          <w:cantSplit/>
          <w:trHeight w:val="1515"/>
        </w:trPr>
        <w:tc>
          <w:tcPr>
            <w:tcW w:w="2512" w:type="dxa"/>
            <w:vAlign w:val="center"/>
          </w:tcPr>
          <w:p w:rsidR="00980C3E" w:rsidRPr="00980C3E" w:rsidRDefault="00980C3E" w:rsidP="000F403D">
            <w:pPr>
              <w:rPr>
                <w:rFonts w:eastAsia="Times New Roman" w:cs="Calibri"/>
                <w:b/>
                <w:noProof/>
                <w:sz w:val="20"/>
                <w:szCs w:val="24"/>
              </w:rPr>
            </w:pPr>
            <w:r>
              <w:rPr>
                <w:b/>
                <w:sz w:val="20"/>
              </w:rPr>
              <w:t>INVESTIGACIÓN</w:t>
            </w:r>
          </w:p>
        </w:tc>
        <w:tc>
          <w:tcPr>
            <w:tcW w:w="3330" w:type="dxa"/>
            <w:vAlign w:val="center"/>
          </w:tcPr>
          <w:p w:rsidR="00980C3E" w:rsidRPr="00980C3E" w:rsidRDefault="00980C3E" w:rsidP="000F403D">
            <w:pPr>
              <w:rPr>
                <w:rFonts w:eastAsia="Times New Roman" w:cs="Calibri"/>
                <w:bCs/>
                <w:noProof/>
                <w:sz w:val="20"/>
                <w:szCs w:val="24"/>
              </w:rPr>
            </w:pPr>
            <w:r>
              <w:rPr>
                <w:sz w:val="20"/>
              </w:rPr>
              <w:t xml:space="preserve">Investigación sobre nuevos coronavirus en humanos </w:t>
            </w:r>
          </w:p>
        </w:tc>
        <w:tc>
          <w:tcPr>
            <w:tcW w:w="3502" w:type="dxa"/>
            <w:vMerge w:val="restart"/>
          </w:tcPr>
          <w:p w:rsidR="00980C3E" w:rsidRPr="00980C3E" w:rsidRDefault="00980C3E" w:rsidP="000F403D">
            <w:pPr>
              <w:contextualSpacing/>
              <w:rPr>
                <w:rFonts w:eastAsia="Times New Roman" w:cs="Calibri"/>
                <w:bCs/>
                <w:noProof/>
                <w:sz w:val="20"/>
                <w:szCs w:val="24"/>
              </w:rPr>
            </w:pPr>
          </w:p>
          <w:p w:rsidR="00980C3E" w:rsidRPr="00980C3E" w:rsidRDefault="00980C3E" w:rsidP="000F403D">
            <w:pPr>
              <w:numPr>
                <w:ilvl w:val="0"/>
                <w:numId w:val="5"/>
              </w:numPr>
              <w:ind w:left="162" w:hanging="162"/>
              <w:contextualSpacing/>
              <w:rPr>
                <w:rFonts w:eastAsia="Times New Roman" w:cs="Calibri"/>
                <w:bCs/>
                <w:noProof/>
                <w:sz w:val="20"/>
                <w:szCs w:val="24"/>
              </w:rPr>
            </w:pPr>
            <w:r>
              <w:rPr>
                <w:sz w:val="20"/>
              </w:rPr>
              <w:t>Conocimiento continuo de la situación</w:t>
            </w:r>
          </w:p>
          <w:p w:rsidR="00980C3E" w:rsidRPr="00980C3E" w:rsidRDefault="00980C3E" w:rsidP="000F403D">
            <w:pPr>
              <w:numPr>
                <w:ilvl w:val="0"/>
                <w:numId w:val="5"/>
              </w:numPr>
              <w:ind w:left="162" w:hanging="162"/>
              <w:contextualSpacing/>
              <w:rPr>
                <w:rFonts w:eastAsia="Times New Roman" w:cs="Calibri"/>
                <w:bCs/>
                <w:noProof/>
                <w:sz w:val="20"/>
                <w:szCs w:val="24"/>
              </w:rPr>
            </w:pPr>
            <w:r>
              <w:rPr>
                <w:sz w:val="20"/>
              </w:rPr>
              <w:t>Seguir muy de cerca los informes diarios proporcionados por las autoridades sanitarias locales, estatales y federales</w:t>
            </w:r>
          </w:p>
          <w:p w:rsidR="00980C3E" w:rsidRPr="00980C3E" w:rsidRDefault="00980C3E" w:rsidP="000F403D">
            <w:pPr>
              <w:numPr>
                <w:ilvl w:val="0"/>
                <w:numId w:val="5"/>
              </w:numPr>
              <w:ind w:left="162" w:hanging="162"/>
              <w:contextualSpacing/>
              <w:rPr>
                <w:rFonts w:eastAsia="Times New Roman" w:cs="Calibri"/>
                <w:bCs/>
                <w:noProof/>
                <w:sz w:val="20"/>
                <w:szCs w:val="24"/>
              </w:rPr>
            </w:pPr>
            <w:r>
              <w:rPr>
                <w:sz w:val="20"/>
              </w:rPr>
              <w:t>Examinar la continuidad de los procedimientos de las operaciones con el personal de los puntos de respuesta de seguridad pública/centros de comunicaciones de emergencia</w:t>
            </w:r>
          </w:p>
          <w:p w:rsidR="00980C3E" w:rsidRPr="00980C3E" w:rsidRDefault="00980C3E" w:rsidP="000F403D">
            <w:pPr>
              <w:numPr>
                <w:ilvl w:val="0"/>
                <w:numId w:val="5"/>
              </w:numPr>
              <w:ind w:left="162" w:hanging="162"/>
              <w:contextualSpacing/>
              <w:rPr>
                <w:rFonts w:eastAsia="Times New Roman" w:cs="Calibri"/>
                <w:bCs/>
                <w:noProof/>
                <w:sz w:val="20"/>
                <w:szCs w:val="24"/>
              </w:rPr>
            </w:pPr>
            <w:r>
              <w:rPr>
                <w:sz w:val="20"/>
              </w:rPr>
              <w:t>Fomentar la preparación en familia</w:t>
            </w:r>
          </w:p>
          <w:p w:rsidR="00980C3E" w:rsidRPr="00980C3E" w:rsidRDefault="00980C3E" w:rsidP="000F403D">
            <w:pPr>
              <w:numPr>
                <w:ilvl w:val="0"/>
                <w:numId w:val="6"/>
              </w:numPr>
              <w:ind w:left="162" w:hanging="162"/>
              <w:contextualSpacing/>
              <w:rPr>
                <w:rFonts w:eastAsia="Times New Roman" w:cs="Calibri"/>
                <w:bCs/>
                <w:noProof/>
                <w:sz w:val="20"/>
                <w:szCs w:val="24"/>
              </w:rPr>
            </w:pPr>
            <w:r>
              <w:rPr>
                <w:sz w:val="20"/>
              </w:rPr>
              <w:t>Probar sistemas y aplicaciones de comunicaciones remotas y virtuales</w:t>
            </w:r>
          </w:p>
          <w:p w:rsidR="00980C3E" w:rsidRPr="00980C3E" w:rsidRDefault="00980C3E" w:rsidP="000F403D">
            <w:pPr>
              <w:numPr>
                <w:ilvl w:val="0"/>
                <w:numId w:val="6"/>
              </w:numPr>
              <w:ind w:left="162" w:hanging="162"/>
              <w:contextualSpacing/>
              <w:rPr>
                <w:rFonts w:eastAsia="Times New Roman" w:cs="Calibri"/>
                <w:bCs/>
                <w:noProof/>
                <w:sz w:val="20"/>
                <w:szCs w:val="24"/>
              </w:rPr>
            </w:pPr>
            <w:r>
              <w:rPr>
                <w:sz w:val="20"/>
              </w:rPr>
              <w:t>Repasar los procedimientos de gestión de incidentes con el personal</w:t>
            </w:r>
          </w:p>
          <w:p w:rsidR="00980C3E" w:rsidRPr="00980C3E" w:rsidRDefault="00980C3E" w:rsidP="000F403D">
            <w:pPr>
              <w:numPr>
                <w:ilvl w:val="0"/>
                <w:numId w:val="6"/>
              </w:numPr>
              <w:ind w:left="162" w:hanging="162"/>
              <w:contextualSpacing/>
              <w:rPr>
                <w:rFonts w:eastAsia="Times New Roman" w:cs="Calibri"/>
                <w:bCs/>
                <w:noProof/>
                <w:sz w:val="20"/>
                <w:szCs w:val="24"/>
              </w:rPr>
            </w:pPr>
            <w:r>
              <w:rPr>
                <w:sz w:val="20"/>
              </w:rPr>
              <w:t>Examinar los contratos y acuerdos, como los de ayuda mutua y los servicios de proveedores</w:t>
            </w:r>
          </w:p>
          <w:p w:rsidR="00980C3E" w:rsidRPr="00980C3E" w:rsidRDefault="00980C3E" w:rsidP="000F403D">
            <w:pPr>
              <w:numPr>
                <w:ilvl w:val="0"/>
                <w:numId w:val="6"/>
              </w:numPr>
              <w:ind w:left="162" w:hanging="162"/>
              <w:contextualSpacing/>
              <w:rPr>
                <w:rFonts w:eastAsia="Times New Roman" w:cs="Calibri"/>
                <w:bCs/>
                <w:noProof/>
                <w:sz w:val="20"/>
                <w:szCs w:val="24"/>
              </w:rPr>
            </w:pPr>
            <w:r>
              <w:rPr>
                <w:sz w:val="20"/>
              </w:rPr>
              <w:t>Conservar existencias de suministros de limpieza</w:t>
            </w:r>
          </w:p>
          <w:p w:rsidR="00980C3E" w:rsidRPr="00980C3E" w:rsidRDefault="00980C3E" w:rsidP="000F403D">
            <w:pPr>
              <w:ind w:left="162"/>
              <w:contextualSpacing/>
              <w:rPr>
                <w:rFonts w:eastAsia="Times New Roman" w:cs="Calibri"/>
                <w:bCs/>
                <w:noProof/>
                <w:sz w:val="20"/>
                <w:szCs w:val="24"/>
              </w:rPr>
            </w:pPr>
          </w:p>
        </w:tc>
      </w:tr>
      <w:tr w:rsidR="00980C3E" w:rsidRPr="00980C3E" w:rsidTr="000F403D">
        <w:trPr>
          <w:cantSplit/>
          <w:trHeight w:val="1380"/>
        </w:trPr>
        <w:tc>
          <w:tcPr>
            <w:tcW w:w="2512" w:type="dxa"/>
            <w:tcBorders>
              <w:bottom w:val="single" w:sz="6" w:space="0" w:color="000000"/>
            </w:tcBorders>
            <w:vAlign w:val="center"/>
          </w:tcPr>
          <w:p w:rsidR="00980C3E" w:rsidRPr="00980C3E" w:rsidRDefault="00980C3E" w:rsidP="000F403D">
            <w:pPr>
              <w:rPr>
                <w:rFonts w:eastAsia="Times New Roman" w:cs="Calibri"/>
                <w:b/>
                <w:smallCaps/>
                <w:noProof/>
                <w:sz w:val="20"/>
                <w:szCs w:val="24"/>
              </w:rPr>
            </w:pPr>
            <w:bookmarkStart w:id="2" w:name="_GoBack"/>
            <w:r>
              <w:rPr>
                <w:b/>
                <w:smallCaps/>
                <w:sz w:val="20"/>
              </w:rPr>
              <w:t>RECONOCIMIENTO</w:t>
            </w:r>
          </w:p>
        </w:tc>
        <w:tc>
          <w:tcPr>
            <w:tcW w:w="3330" w:type="dxa"/>
            <w:tcBorders>
              <w:bottom w:val="single" w:sz="6" w:space="0" w:color="000000"/>
            </w:tcBorders>
            <w:vAlign w:val="center"/>
          </w:tcPr>
          <w:p w:rsidR="00980C3E" w:rsidRPr="00980C3E" w:rsidRDefault="00980C3E" w:rsidP="000F403D">
            <w:pPr>
              <w:rPr>
                <w:rFonts w:eastAsia="Times New Roman" w:cs="Calibri"/>
                <w:bCs/>
                <w:noProof/>
                <w:sz w:val="20"/>
                <w:szCs w:val="24"/>
              </w:rPr>
            </w:pPr>
            <w:r>
              <w:rPr>
                <w:sz w:val="20"/>
              </w:rPr>
              <w:t>Reconocimiento de un mayor potencial de transmisión de un nuevo coronavirus</w:t>
            </w:r>
          </w:p>
        </w:tc>
        <w:tc>
          <w:tcPr>
            <w:tcW w:w="3502" w:type="dxa"/>
            <w:vMerge/>
            <w:tcBorders>
              <w:bottom w:val="single" w:sz="6" w:space="0" w:color="000000"/>
            </w:tcBorders>
          </w:tcPr>
          <w:p w:rsidR="00980C3E" w:rsidRPr="00980C3E" w:rsidRDefault="00980C3E" w:rsidP="000F403D">
            <w:pPr>
              <w:numPr>
                <w:ilvl w:val="0"/>
                <w:numId w:val="6"/>
              </w:numPr>
              <w:ind w:left="162" w:hanging="162"/>
              <w:contextualSpacing/>
              <w:jc w:val="both"/>
              <w:rPr>
                <w:rFonts w:eastAsia="Times New Roman" w:cs="Calibri"/>
                <w:bCs/>
                <w:noProof/>
                <w:sz w:val="20"/>
                <w:szCs w:val="24"/>
              </w:rPr>
            </w:pPr>
          </w:p>
        </w:tc>
      </w:tr>
      <w:bookmarkEnd w:id="2"/>
      <w:tr w:rsidR="00980C3E" w:rsidRPr="00980C3E" w:rsidTr="000F403D">
        <w:trPr>
          <w:cantSplit/>
          <w:trHeight w:val="453"/>
        </w:trPr>
        <w:tc>
          <w:tcPr>
            <w:tcW w:w="9344" w:type="dxa"/>
            <w:gridSpan w:val="3"/>
            <w:shd w:val="clear" w:color="auto" w:fill="D9D9D9" w:themeFill="background1" w:themeFillShade="D9"/>
            <w:vAlign w:val="center"/>
          </w:tcPr>
          <w:p w:rsidR="00980C3E" w:rsidRPr="00980C3E" w:rsidRDefault="00980C3E" w:rsidP="000F403D">
            <w:pPr>
              <w:contextualSpacing/>
              <w:jc w:val="both"/>
              <w:rPr>
                <w:rFonts w:eastAsia="Times New Roman" w:cs="Calibri"/>
                <w:bCs/>
                <w:noProof/>
                <w:sz w:val="20"/>
                <w:szCs w:val="24"/>
              </w:rPr>
            </w:pPr>
            <w:r>
              <w:rPr>
                <w:b/>
                <w:sz w:val="20"/>
              </w:rPr>
              <w:t xml:space="preserve">Intervalos pandémicos: el nuevo coronavirus </w:t>
            </w:r>
            <w:r>
              <w:rPr>
                <w:b/>
                <w:i/>
                <w:sz w:val="20"/>
              </w:rPr>
              <w:t>logra una transmisión eficiente y sostenida de persona a persona</w:t>
            </w:r>
          </w:p>
        </w:tc>
      </w:tr>
      <w:tr w:rsidR="00980C3E" w:rsidRPr="00980C3E" w:rsidTr="000F403D">
        <w:trPr>
          <w:cantSplit/>
          <w:trHeight w:val="1008"/>
        </w:trPr>
        <w:tc>
          <w:tcPr>
            <w:tcW w:w="2512" w:type="dxa"/>
            <w:vAlign w:val="center"/>
          </w:tcPr>
          <w:p w:rsidR="00980C3E" w:rsidRPr="00980C3E" w:rsidRDefault="00980C3E" w:rsidP="000F403D">
            <w:pPr>
              <w:rPr>
                <w:rFonts w:eastAsia="Times New Roman" w:cs="Calibri"/>
                <w:b/>
                <w:noProof/>
                <w:sz w:val="20"/>
                <w:szCs w:val="24"/>
              </w:rPr>
            </w:pPr>
            <w:r>
              <w:rPr>
                <w:b/>
                <w:sz w:val="20"/>
              </w:rPr>
              <w:t>INICIO</w:t>
            </w:r>
          </w:p>
        </w:tc>
        <w:tc>
          <w:tcPr>
            <w:tcW w:w="3330" w:type="dxa"/>
            <w:vAlign w:val="center"/>
          </w:tcPr>
          <w:p w:rsidR="00980C3E" w:rsidRPr="00980C3E" w:rsidRDefault="00980C3E" w:rsidP="000F403D">
            <w:pPr>
              <w:rPr>
                <w:rFonts w:eastAsia="Times New Roman" w:cs="Calibri"/>
                <w:bCs/>
                <w:noProof/>
                <w:sz w:val="20"/>
                <w:szCs w:val="24"/>
              </w:rPr>
            </w:pPr>
            <w:r>
              <w:rPr>
                <w:sz w:val="20"/>
              </w:rPr>
              <w:t>Inicio de un resurgimiento de la pandemia, es decir, la transmisión sostenida de persona a persona</w:t>
            </w:r>
          </w:p>
        </w:tc>
        <w:tc>
          <w:tcPr>
            <w:tcW w:w="3502" w:type="dxa"/>
            <w:vMerge w:val="restart"/>
          </w:tcPr>
          <w:p w:rsidR="00980C3E" w:rsidRPr="00980C3E" w:rsidRDefault="00980C3E" w:rsidP="000F403D">
            <w:pPr>
              <w:contextualSpacing/>
              <w:rPr>
                <w:rFonts w:eastAsia="Times New Roman" w:cs="Calibri"/>
                <w:bCs/>
                <w:noProof/>
                <w:sz w:val="20"/>
                <w:szCs w:val="24"/>
              </w:rPr>
            </w:pPr>
          </w:p>
          <w:p w:rsidR="00980C3E" w:rsidRPr="00980C3E" w:rsidRDefault="00980C3E" w:rsidP="000F403D">
            <w:pPr>
              <w:numPr>
                <w:ilvl w:val="0"/>
                <w:numId w:val="7"/>
              </w:numPr>
              <w:spacing w:before="60" w:after="60"/>
              <w:ind w:left="158" w:hanging="158"/>
              <w:contextualSpacing/>
              <w:rPr>
                <w:rFonts w:eastAsia="Times New Roman" w:cs="Calibri"/>
                <w:bCs/>
                <w:noProof/>
                <w:sz w:val="20"/>
                <w:szCs w:val="24"/>
              </w:rPr>
            </w:pPr>
            <w:r>
              <w:rPr>
                <w:sz w:val="20"/>
              </w:rPr>
              <w:t>Activación del plan de respuesta para la continuidad de operaciones</w:t>
            </w:r>
          </w:p>
          <w:p w:rsidR="00980C3E" w:rsidRPr="00980C3E" w:rsidRDefault="00980C3E" w:rsidP="000F403D">
            <w:pPr>
              <w:numPr>
                <w:ilvl w:val="0"/>
                <w:numId w:val="7"/>
              </w:numPr>
              <w:spacing w:before="60" w:after="60"/>
              <w:ind w:left="158" w:hanging="158"/>
              <w:contextualSpacing/>
              <w:rPr>
                <w:rFonts w:eastAsia="Times New Roman" w:cs="Calibri"/>
                <w:bCs/>
                <w:noProof/>
                <w:sz w:val="20"/>
                <w:szCs w:val="24"/>
              </w:rPr>
            </w:pPr>
            <w:r>
              <w:rPr>
                <w:sz w:val="20"/>
              </w:rPr>
              <w:t>Aplicación de las medidas de protección personal recomendadas por las autoridades sanitarias</w:t>
            </w:r>
          </w:p>
          <w:p w:rsidR="00980C3E" w:rsidRPr="00980C3E" w:rsidRDefault="00980C3E" w:rsidP="000F403D">
            <w:pPr>
              <w:numPr>
                <w:ilvl w:val="0"/>
                <w:numId w:val="7"/>
              </w:numPr>
              <w:spacing w:before="60" w:after="60"/>
              <w:ind w:left="158" w:hanging="158"/>
              <w:contextualSpacing/>
              <w:rPr>
                <w:rFonts w:eastAsia="Times New Roman" w:cs="Calibri"/>
                <w:bCs/>
                <w:noProof/>
                <w:sz w:val="20"/>
                <w:szCs w:val="24"/>
              </w:rPr>
            </w:pPr>
            <w:r>
              <w:rPr>
                <w:sz w:val="20"/>
              </w:rPr>
              <w:t xml:space="preserve">Vigilar al personal para detectar </w:t>
            </w:r>
            <w:r>
              <w:rPr>
                <w:sz w:val="20"/>
              </w:rPr>
              <w:lastRenderedPageBreak/>
              <w:t>enfermos</w:t>
            </w:r>
          </w:p>
          <w:p w:rsidR="00980C3E" w:rsidRPr="00980C3E" w:rsidRDefault="00980C3E" w:rsidP="000F403D">
            <w:pPr>
              <w:numPr>
                <w:ilvl w:val="0"/>
                <w:numId w:val="7"/>
              </w:numPr>
              <w:spacing w:before="60" w:after="60"/>
              <w:ind w:left="158" w:hanging="158"/>
              <w:contextualSpacing/>
              <w:rPr>
                <w:rFonts w:eastAsia="Times New Roman" w:cs="Calibri"/>
                <w:bCs/>
                <w:noProof/>
                <w:sz w:val="20"/>
                <w:szCs w:val="24"/>
              </w:rPr>
            </w:pPr>
            <w:r>
              <w:rPr>
                <w:sz w:val="20"/>
              </w:rPr>
              <w:t>Mantener el contacto con las entidades asociadas y contratistas</w:t>
            </w:r>
          </w:p>
          <w:p w:rsidR="00980C3E" w:rsidRPr="00980C3E" w:rsidRDefault="00980C3E" w:rsidP="000F403D">
            <w:pPr>
              <w:numPr>
                <w:ilvl w:val="0"/>
                <w:numId w:val="8"/>
              </w:numPr>
              <w:spacing w:before="60" w:after="60"/>
              <w:ind w:left="158" w:hanging="158"/>
              <w:contextualSpacing/>
              <w:rPr>
                <w:rFonts w:eastAsia="Times New Roman" w:cs="Calibri"/>
                <w:bCs/>
                <w:noProof/>
                <w:sz w:val="20"/>
                <w:szCs w:val="24"/>
              </w:rPr>
            </w:pPr>
            <w:r>
              <w:rPr>
                <w:sz w:val="20"/>
              </w:rPr>
              <w:t>Conocimiento continuo de la situación</w:t>
            </w:r>
          </w:p>
          <w:p w:rsidR="00980C3E" w:rsidRPr="00980C3E" w:rsidRDefault="00980C3E" w:rsidP="000F403D">
            <w:pPr>
              <w:numPr>
                <w:ilvl w:val="0"/>
                <w:numId w:val="8"/>
              </w:numPr>
              <w:spacing w:before="60" w:after="60"/>
              <w:ind w:left="158" w:hanging="158"/>
              <w:contextualSpacing/>
              <w:rPr>
                <w:rFonts w:eastAsia="Times New Roman" w:cs="Calibri"/>
                <w:bCs/>
                <w:noProof/>
                <w:sz w:val="20"/>
                <w:szCs w:val="24"/>
              </w:rPr>
            </w:pPr>
            <w:r>
              <w:rPr>
                <w:sz w:val="20"/>
              </w:rPr>
              <w:t>Desinfectar los espacios de trabajo con regularidad</w:t>
            </w:r>
          </w:p>
          <w:p w:rsidR="00980C3E" w:rsidRPr="00980C3E" w:rsidRDefault="00980C3E" w:rsidP="000F403D">
            <w:pPr>
              <w:numPr>
                <w:ilvl w:val="0"/>
                <w:numId w:val="8"/>
              </w:numPr>
              <w:spacing w:before="60" w:after="60"/>
              <w:ind w:left="158" w:hanging="158"/>
              <w:contextualSpacing/>
              <w:rPr>
                <w:rFonts w:eastAsia="Times New Roman" w:cs="Calibri"/>
                <w:bCs/>
                <w:noProof/>
                <w:sz w:val="20"/>
                <w:szCs w:val="24"/>
              </w:rPr>
            </w:pPr>
            <w:r>
              <w:rPr>
                <w:sz w:val="20"/>
              </w:rPr>
              <w:t xml:space="preserve">Comunicarse con los proveedores </w:t>
            </w:r>
          </w:p>
          <w:p w:rsidR="00980C3E" w:rsidRPr="00980C3E" w:rsidRDefault="00980C3E" w:rsidP="000F403D">
            <w:pPr>
              <w:numPr>
                <w:ilvl w:val="0"/>
                <w:numId w:val="8"/>
              </w:numPr>
              <w:spacing w:before="60" w:after="60"/>
              <w:ind w:left="158" w:hanging="158"/>
              <w:contextualSpacing/>
              <w:rPr>
                <w:rFonts w:eastAsia="Times New Roman" w:cs="Calibri"/>
                <w:bCs/>
                <w:noProof/>
                <w:sz w:val="20"/>
                <w:szCs w:val="24"/>
              </w:rPr>
            </w:pPr>
            <w:r>
              <w:rPr>
                <w:sz w:val="20"/>
              </w:rPr>
              <w:t>Compartir y repasar el plan de acción escrito con el personal</w:t>
            </w:r>
          </w:p>
          <w:p w:rsidR="00980C3E" w:rsidRPr="00980C3E" w:rsidRDefault="00980C3E" w:rsidP="000F403D">
            <w:pPr>
              <w:numPr>
                <w:ilvl w:val="0"/>
                <w:numId w:val="8"/>
              </w:numPr>
              <w:spacing w:before="60" w:after="60"/>
              <w:ind w:left="158" w:hanging="158"/>
              <w:contextualSpacing/>
              <w:rPr>
                <w:rFonts w:eastAsia="Times New Roman" w:cs="Calibri"/>
                <w:bCs/>
                <w:noProof/>
                <w:sz w:val="20"/>
                <w:szCs w:val="24"/>
              </w:rPr>
            </w:pPr>
            <w:r>
              <w:rPr>
                <w:sz w:val="20"/>
              </w:rPr>
              <w:t xml:space="preserve">Coordinar los procesos de tamizaje del personal con el Departamento de Recursos Humanos </w:t>
            </w:r>
          </w:p>
          <w:p w:rsidR="00980C3E" w:rsidRPr="00980C3E" w:rsidRDefault="00980C3E" w:rsidP="000F403D">
            <w:pPr>
              <w:spacing w:before="60" w:after="60"/>
              <w:contextualSpacing/>
              <w:rPr>
                <w:rFonts w:eastAsia="Times New Roman" w:cs="Calibri"/>
                <w:bCs/>
                <w:noProof/>
                <w:sz w:val="20"/>
                <w:szCs w:val="24"/>
              </w:rPr>
            </w:pPr>
          </w:p>
          <w:p w:rsidR="00980C3E" w:rsidRPr="00980C3E" w:rsidRDefault="00980C3E" w:rsidP="000F403D">
            <w:pPr>
              <w:spacing w:before="60" w:after="60"/>
              <w:contextualSpacing/>
              <w:rPr>
                <w:rFonts w:eastAsia="Times New Roman" w:cs="Calibri"/>
                <w:bCs/>
                <w:noProof/>
                <w:sz w:val="20"/>
                <w:szCs w:val="24"/>
              </w:rPr>
            </w:pPr>
          </w:p>
          <w:p w:rsidR="00980C3E" w:rsidRPr="00980C3E" w:rsidRDefault="00980C3E" w:rsidP="000F403D">
            <w:pPr>
              <w:spacing w:before="60" w:after="60"/>
              <w:contextualSpacing/>
              <w:rPr>
                <w:rFonts w:eastAsia="Times New Roman" w:cs="Calibri"/>
                <w:bCs/>
                <w:noProof/>
                <w:sz w:val="20"/>
                <w:szCs w:val="24"/>
              </w:rPr>
            </w:pPr>
          </w:p>
          <w:p w:rsidR="00980C3E" w:rsidRPr="00980C3E" w:rsidRDefault="00980C3E" w:rsidP="000F403D">
            <w:pPr>
              <w:spacing w:before="60" w:after="60"/>
              <w:ind w:left="158"/>
              <w:contextualSpacing/>
              <w:rPr>
                <w:rFonts w:eastAsia="Times New Roman" w:cs="Calibri"/>
                <w:bCs/>
                <w:noProof/>
                <w:sz w:val="20"/>
                <w:szCs w:val="24"/>
              </w:rPr>
            </w:pPr>
          </w:p>
        </w:tc>
      </w:tr>
      <w:tr w:rsidR="00980C3E" w:rsidRPr="00980C3E" w:rsidTr="000F403D">
        <w:trPr>
          <w:cantSplit/>
          <w:trHeight w:val="965"/>
        </w:trPr>
        <w:tc>
          <w:tcPr>
            <w:tcW w:w="2512" w:type="dxa"/>
            <w:vAlign w:val="center"/>
          </w:tcPr>
          <w:p w:rsidR="00980C3E" w:rsidRPr="00980C3E" w:rsidRDefault="00980C3E" w:rsidP="000F403D">
            <w:pPr>
              <w:rPr>
                <w:rFonts w:eastAsia="Times New Roman" w:cs="Calibri"/>
                <w:b/>
                <w:bCs/>
                <w:noProof/>
                <w:sz w:val="20"/>
                <w:szCs w:val="24"/>
              </w:rPr>
            </w:pPr>
            <w:r>
              <w:rPr>
                <w:b/>
                <w:sz w:val="20"/>
              </w:rPr>
              <w:t>ACELERACIÓN</w:t>
            </w:r>
          </w:p>
        </w:tc>
        <w:tc>
          <w:tcPr>
            <w:tcW w:w="3330" w:type="dxa"/>
            <w:vAlign w:val="center"/>
          </w:tcPr>
          <w:p w:rsidR="00980C3E" w:rsidRPr="00980C3E" w:rsidRDefault="00980C3E" w:rsidP="000F403D">
            <w:pPr>
              <w:rPr>
                <w:rFonts w:eastAsia="Times New Roman" w:cs="Calibri"/>
                <w:bCs/>
                <w:noProof/>
                <w:sz w:val="20"/>
                <w:szCs w:val="24"/>
              </w:rPr>
            </w:pPr>
            <w:r>
              <w:rPr>
                <w:sz w:val="20"/>
              </w:rPr>
              <w:t>Aceleración del resurgimiento de una pandemia caracterizada por el aumento en el número de casos diagnosticados</w:t>
            </w:r>
          </w:p>
        </w:tc>
        <w:tc>
          <w:tcPr>
            <w:tcW w:w="3502" w:type="dxa"/>
            <w:vMerge/>
          </w:tcPr>
          <w:p w:rsidR="00980C3E" w:rsidRPr="00980C3E" w:rsidRDefault="00980C3E" w:rsidP="000F403D">
            <w:pPr>
              <w:numPr>
                <w:ilvl w:val="0"/>
                <w:numId w:val="8"/>
              </w:numPr>
              <w:ind w:left="162" w:hanging="162"/>
              <w:contextualSpacing/>
              <w:jc w:val="both"/>
              <w:rPr>
                <w:rFonts w:eastAsia="Times New Roman" w:cs="Calibri"/>
                <w:bCs/>
                <w:noProof/>
                <w:sz w:val="20"/>
                <w:szCs w:val="24"/>
              </w:rPr>
            </w:pPr>
          </w:p>
        </w:tc>
      </w:tr>
      <w:tr w:rsidR="00980C3E" w:rsidRPr="00980C3E" w:rsidTr="000F403D">
        <w:trPr>
          <w:cantSplit/>
          <w:trHeight w:val="900"/>
        </w:trPr>
        <w:tc>
          <w:tcPr>
            <w:tcW w:w="2512" w:type="dxa"/>
            <w:tcBorders>
              <w:bottom w:val="single" w:sz="6" w:space="0" w:color="000000"/>
            </w:tcBorders>
            <w:vAlign w:val="center"/>
          </w:tcPr>
          <w:p w:rsidR="00980C3E" w:rsidRPr="00980C3E" w:rsidRDefault="00980C3E" w:rsidP="000F403D">
            <w:pPr>
              <w:rPr>
                <w:rFonts w:eastAsia="Times New Roman" w:cs="Calibri"/>
                <w:b/>
                <w:bCs/>
                <w:noProof/>
                <w:sz w:val="20"/>
                <w:szCs w:val="24"/>
              </w:rPr>
            </w:pPr>
            <w:r>
              <w:rPr>
                <w:b/>
                <w:sz w:val="20"/>
              </w:rPr>
              <w:lastRenderedPageBreak/>
              <w:t>DESACELERACIÓN</w:t>
            </w:r>
          </w:p>
        </w:tc>
        <w:tc>
          <w:tcPr>
            <w:tcW w:w="3330" w:type="dxa"/>
            <w:tcBorders>
              <w:bottom w:val="single" w:sz="6" w:space="0" w:color="000000"/>
            </w:tcBorders>
            <w:vAlign w:val="center"/>
          </w:tcPr>
          <w:p w:rsidR="00980C3E" w:rsidRPr="00980C3E" w:rsidRDefault="00980C3E" w:rsidP="000F403D">
            <w:pPr>
              <w:rPr>
                <w:rFonts w:eastAsia="Times New Roman" w:cs="Calibri"/>
                <w:bCs/>
                <w:noProof/>
                <w:sz w:val="20"/>
                <w:szCs w:val="24"/>
              </w:rPr>
            </w:pPr>
            <w:r>
              <w:rPr>
                <w:sz w:val="20"/>
              </w:rPr>
              <w:t>Desaceleración del resurgimiento de una pandemia caracterizada por la reducción de casos</w:t>
            </w:r>
          </w:p>
        </w:tc>
        <w:tc>
          <w:tcPr>
            <w:tcW w:w="3502" w:type="dxa"/>
            <w:vMerge/>
            <w:tcBorders>
              <w:bottom w:val="single" w:sz="6" w:space="0" w:color="000000"/>
            </w:tcBorders>
          </w:tcPr>
          <w:p w:rsidR="00980C3E" w:rsidRPr="00980C3E" w:rsidRDefault="00980C3E" w:rsidP="000F403D">
            <w:pPr>
              <w:numPr>
                <w:ilvl w:val="0"/>
                <w:numId w:val="9"/>
              </w:numPr>
              <w:ind w:left="162" w:hanging="162"/>
              <w:contextualSpacing/>
              <w:jc w:val="both"/>
              <w:rPr>
                <w:rFonts w:eastAsia="Times New Roman" w:cs="Calibri"/>
                <w:b/>
                <w:bCs/>
                <w:noProof/>
                <w:sz w:val="20"/>
                <w:szCs w:val="24"/>
              </w:rPr>
            </w:pPr>
          </w:p>
        </w:tc>
      </w:tr>
      <w:tr w:rsidR="00980C3E" w:rsidRPr="00980C3E" w:rsidTr="000F403D">
        <w:trPr>
          <w:cantSplit/>
          <w:trHeight w:val="360"/>
        </w:trPr>
        <w:tc>
          <w:tcPr>
            <w:tcW w:w="9344" w:type="dxa"/>
            <w:gridSpan w:val="3"/>
            <w:shd w:val="clear" w:color="auto" w:fill="D9D9D9" w:themeFill="background1" w:themeFillShade="D9"/>
            <w:vAlign w:val="center"/>
          </w:tcPr>
          <w:p w:rsidR="00980C3E" w:rsidRPr="00980C3E" w:rsidRDefault="00980C3E" w:rsidP="000F403D">
            <w:pPr>
              <w:contextualSpacing/>
              <w:jc w:val="both"/>
              <w:rPr>
                <w:rFonts w:eastAsia="Times New Roman" w:cs="Calibri"/>
                <w:b/>
                <w:bCs/>
                <w:noProof/>
                <w:sz w:val="20"/>
                <w:szCs w:val="24"/>
              </w:rPr>
            </w:pPr>
            <w:r>
              <w:rPr>
                <w:b/>
                <w:sz w:val="20"/>
              </w:rPr>
              <w:lastRenderedPageBreak/>
              <w:t>Fase de transición</w:t>
            </w:r>
          </w:p>
        </w:tc>
      </w:tr>
      <w:tr w:rsidR="00980C3E" w:rsidRPr="00980C3E" w:rsidTr="000F403D">
        <w:trPr>
          <w:cantSplit/>
          <w:trHeight w:val="3409"/>
        </w:trPr>
        <w:tc>
          <w:tcPr>
            <w:tcW w:w="2512" w:type="dxa"/>
            <w:vAlign w:val="center"/>
          </w:tcPr>
          <w:p w:rsidR="00980C3E" w:rsidRPr="00980C3E" w:rsidRDefault="00980C3E" w:rsidP="000F403D">
            <w:pPr>
              <w:rPr>
                <w:rFonts w:eastAsia="Times New Roman" w:cs="Calibri"/>
                <w:b/>
                <w:bCs/>
                <w:noProof/>
                <w:sz w:val="20"/>
                <w:szCs w:val="24"/>
              </w:rPr>
            </w:pPr>
            <w:r>
              <w:rPr>
                <w:b/>
                <w:sz w:val="20"/>
              </w:rPr>
              <w:t>PREPARACIÓN</w:t>
            </w:r>
          </w:p>
        </w:tc>
        <w:tc>
          <w:tcPr>
            <w:tcW w:w="3330" w:type="dxa"/>
            <w:vAlign w:val="center"/>
          </w:tcPr>
          <w:p w:rsidR="00980C3E" w:rsidRPr="00980C3E" w:rsidRDefault="00980C3E" w:rsidP="000F403D">
            <w:pPr>
              <w:rPr>
                <w:rFonts w:eastAsia="Times New Roman" w:cs="Calibri"/>
                <w:noProof/>
                <w:sz w:val="20"/>
                <w:szCs w:val="24"/>
              </w:rPr>
            </w:pPr>
            <w:r>
              <w:rPr>
                <w:sz w:val="20"/>
              </w:rPr>
              <w:t>Preparación para futuros resurgimientos de pandemias</w:t>
            </w:r>
          </w:p>
        </w:tc>
        <w:tc>
          <w:tcPr>
            <w:tcW w:w="3502" w:type="dxa"/>
            <w:vAlign w:val="center"/>
          </w:tcPr>
          <w:p w:rsidR="00980C3E" w:rsidRPr="00980C3E" w:rsidRDefault="00980C3E" w:rsidP="000F403D">
            <w:pPr>
              <w:contextualSpacing/>
              <w:rPr>
                <w:rFonts w:eastAsia="Times New Roman" w:cs="Calibri"/>
                <w:bCs/>
                <w:noProof/>
                <w:sz w:val="20"/>
                <w:szCs w:val="24"/>
              </w:rPr>
            </w:pPr>
          </w:p>
          <w:p w:rsidR="00980C3E" w:rsidRPr="00980C3E" w:rsidRDefault="00980C3E" w:rsidP="000F403D">
            <w:pPr>
              <w:numPr>
                <w:ilvl w:val="0"/>
                <w:numId w:val="9"/>
              </w:numPr>
              <w:ind w:left="151" w:hanging="151"/>
              <w:contextualSpacing/>
              <w:rPr>
                <w:rFonts w:eastAsia="Times New Roman" w:cs="Calibri"/>
                <w:bCs/>
                <w:noProof/>
                <w:sz w:val="20"/>
                <w:szCs w:val="24"/>
              </w:rPr>
            </w:pPr>
            <w:r>
              <w:rPr>
                <w:sz w:val="20"/>
              </w:rPr>
              <w:t>Llevar a cabo la planificación para la continuidad de operaciones</w:t>
            </w:r>
          </w:p>
          <w:p w:rsidR="00980C3E" w:rsidRPr="00980C3E" w:rsidRDefault="00980C3E" w:rsidP="000F403D">
            <w:pPr>
              <w:numPr>
                <w:ilvl w:val="0"/>
                <w:numId w:val="9"/>
              </w:numPr>
              <w:ind w:left="151" w:hanging="151"/>
              <w:contextualSpacing/>
              <w:rPr>
                <w:rFonts w:eastAsia="Times New Roman" w:cs="Calibri"/>
                <w:bCs/>
                <w:noProof/>
                <w:sz w:val="20"/>
                <w:szCs w:val="24"/>
              </w:rPr>
            </w:pPr>
            <w:r>
              <w:rPr>
                <w:sz w:val="20"/>
              </w:rPr>
              <w:t>Brindar capacitación al personal</w:t>
            </w:r>
          </w:p>
          <w:p w:rsidR="00980C3E" w:rsidRPr="00980C3E" w:rsidRDefault="00980C3E" w:rsidP="000F403D">
            <w:pPr>
              <w:numPr>
                <w:ilvl w:val="0"/>
                <w:numId w:val="9"/>
              </w:numPr>
              <w:ind w:left="151" w:hanging="151"/>
              <w:contextualSpacing/>
              <w:rPr>
                <w:rFonts w:eastAsia="Times New Roman" w:cs="Calibri"/>
                <w:bCs/>
                <w:noProof/>
                <w:sz w:val="20"/>
                <w:szCs w:val="24"/>
              </w:rPr>
            </w:pPr>
            <w:r>
              <w:rPr>
                <w:sz w:val="20"/>
              </w:rPr>
              <w:t>Mejorar la relación con las autoridades locales de salud pública</w:t>
            </w:r>
          </w:p>
          <w:p w:rsidR="00980C3E" w:rsidRPr="00980C3E" w:rsidRDefault="00980C3E" w:rsidP="000F403D">
            <w:pPr>
              <w:numPr>
                <w:ilvl w:val="0"/>
                <w:numId w:val="9"/>
              </w:numPr>
              <w:ind w:left="151" w:hanging="151"/>
              <w:contextualSpacing/>
              <w:rPr>
                <w:rFonts w:eastAsia="Times New Roman" w:cs="Calibri"/>
                <w:bCs/>
                <w:noProof/>
                <w:sz w:val="20"/>
                <w:szCs w:val="24"/>
              </w:rPr>
            </w:pPr>
            <w:r>
              <w:rPr>
                <w:sz w:val="20"/>
              </w:rPr>
              <w:t>Planes de pruebas y ejercicios</w:t>
            </w:r>
          </w:p>
          <w:p w:rsidR="00980C3E" w:rsidRPr="00980C3E" w:rsidRDefault="00980C3E" w:rsidP="000F403D">
            <w:pPr>
              <w:numPr>
                <w:ilvl w:val="0"/>
                <w:numId w:val="9"/>
              </w:numPr>
              <w:ind w:left="151" w:hanging="151"/>
              <w:contextualSpacing/>
              <w:rPr>
                <w:rFonts w:eastAsia="Times New Roman" w:cs="Calibri"/>
                <w:bCs/>
                <w:noProof/>
                <w:sz w:val="20"/>
                <w:szCs w:val="24"/>
              </w:rPr>
            </w:pPr>
            <w:r>
              <w:rPr>
                <w:sz w:val="20"/>
              </w:rPr>
              <w:t xml:space="preserve">Conocimiento continuo de la situación y mantenerse al tanto de las amenazas en evolución </w:t>
            </w:r>
          </w:p>
          <w:p w:rsidR="00980C3E" w:rsidRPr="00980C3E" w:rsidRDefault="00980C3E" w:rsidP="000F403D">
            <w:pPr>
              <w:numPr>
                <w:ilvl w:val="0"/>
                <w:numId w:val="9"/>
              </w:numPr>
              <w:ind w:left="151" w:hanging="151"/>
              <w:contextualSpacing/>
              <w:rPr>
                <w:rFonts w:eastAsia="Times New Roman" w:cs="Calibri"/>
                <w:bCs/>
                <w:noProof/>
                <w:sz w:val="20"/>
                <w:szCs w:val="24"/>
              </w:rPr>
            </w:pPr>
            <w:r>
              <w:rPr>
                <w:sz w:val="20"/>
              </w:rPr>
              <w:t>Evaluar la respuesta y realizar un examen posterior a la acción</w:t>
            </w:r>
          </w:p>
          <w:p w:rsidR="00980C3E" w:rsidRPr="00980C3E" w:rsidRDefault="00980C3E" w:rsidP="000F403D">
            <w:pPr>
              <w:numPr>
                <w:ilvl w:val="0"/>
                <w:numId w:val="9"/>
              </w:numPr>
              <w:ind w:left="151" w:hanging="151"/>
              <w:contextualSpacing/>
              <w:rPr>
                <w:rFonts w:eastAsia="Times New Roman" w:cs="Calibri"/>
                <w:bCs/>
                <w:noProof/>
                <w:sz w:val="20"/>
                <w:szCs w:val="24"/>
              </w:rPr>
            </w:pPr>
            <w:r>
              <w:rPr>
                <w:sz w:val="20"/>
              </w:rPr>
              <w:t>Actualizar los planes según sea necesario</w:t>
            </w:r>
          </w:p>
          <w:p w:rsidR="00980C3E" w:rsidRPr="00980C3E" w:rsidRDefault="00980C3E" w:rsidP="000F403D">
            <w:pPr>
              <w:numPr>
                <w:ilvl w:val="0"/>
                <w:numId w:val="9"/>
              </w:numPr>
              <w:ind w:left="151" w:hanging="151"/>
              <w:contextualSpacing/>
              <w:rPr>
                <w:rFonts w:eastAsia="Times New Roman" w:cs="Calibri"/>
                <w:bCs/>
                <w:noProof/>
                <w:sz w:val="20"/>
                <w:szCs w:val="24"/>
              </w:rPr>
            </w:pPr>
            <w:r>
              <w:rPr>
                <w:sz w:val="20"/>
              </w:rPr>
              <w:t>Reponer los suministros</w:t>
            </w:r>
          </w:p>
          <w:p w:rsidR="00980C3E" w:rsidRPr="00980C3E" w:rsidRDefault="00980C3E" w:rsidP="000F403D">
            <w:pPr>
              <w:numPr>
                <w:ilvl w:val="0"/>
                <w:numId w:val="9"/>
              </w:numPr>
              <w:ind w:left="151" w:hanging="151"/>
              <w:contextualSpacing/>
              <w:rPr>
                <w:rFonts w:eastAsia="Times New Roman" w:cs="Calibri"/>
                <w:bCs/>
                <w:noProof/>
                <w:sz w:val="20"/>
                <w:szCs w:val="24"/>
              </w:rPr>
            </w:pPr>
            <w:r>
              <w:rPr>
                <w:sz w:val="20"/>
              </w:rPr>
              <w:t>Cubrir puestos vacantes según sea necesario</w:t>
            </w:r>
          </w:p>
          <w:p w:rsidR="00980C3E" w:rsidRPr="00980C3E" w:rsidRDefault="00980C3E" w:rsidP="000F403D">
            <w:pPr>
              <w:numPr>
                <w:ilvl w:val="0"/>
                <w:numId w:val="9"/>
              </w:numPr>
              <w:ind w:left="151" w:hanging="151"/>
              <w:contextualSpacing/>
              <w:rPr>
                <w:rFonts w:eastAsia="Times New Roman" w:cs="Calibri"/>
                <w:bCs/>
                <w:noProof/>
                <w:sz w:val="20"/>
                <w:szCs w:val="24"/>
              </w:rPr>
            </w:pPr>
            <w:r>
              <w:rPr>
                <w:sz w:val="20"/>
              </w:rPr>
              <w:t>Planificar y llevar a cabo una sesión informativa</w:t>
            </w:r>
          </w:p>
          <w:p w:rsidR="00980C3E" w:rsidRPr="00980C3E" w:rsidRDefault="00980C3E" w:rsidP="000F403D">
            <w:pPr>
              <w:contextualSpacing/>
              <w:rPr>
                <w:rFonts w:eastAsia="Times New Roman" w:cs="Calibri"/>
                <w:bCs/>
                <w:noProof/>
                <w:sz w:val="20"/>
                <w:szCs w:val="24"/>
              </w:rPr>
            </w:pPr>
          </w:p>
        </w:tc>
      </w:tr>
    </w:tbl>
    <w:p w:rsidR="00980C3E" w:rsidRPr="00980C3E" w:rsidRDefault="00980C3E" w:rsidP="00980C3E">
      <w:pPr>
        <w:rPr>
          <w:noProof/>
        </w:rPr>
      </w:pPr>
    </w:p>
    <w:p w:rsidR="00980C3E" w:rsidRPr="00980C3E" w:rsidRDefault="00980C3E" w:rsidP="00980C3E">
      <w:pPr>
        <w:rPr>
          <w:noProof/>
        </w:rPr>
      </w:pPr>
    </w:p>
    <w:p w:rsidR="00980C3E" w:rsidRPr="00980C3E" w:rsidRDefault="00980C3E" w:rsidP="00EF7485">
      <w:pPr>
        <w:pStyle w:val="Heading1"/>
        <w:ind w:left="720" w:hanging="720"/>
        <w:jc w:val="both"/>
        <w:rPr>
          <w:noProof/>
        </w:rPr>
      </w:pPr>
      <w:r>
        <w:t>Medidas de protección para los puntos de respuesta de seguridad pública/centros de comunicaciones de emergencia</w:t>
      </w:r>
    </w:p>
    <w:p w:rsidR="00980C3E" w:rsidRPr="00980C3E" w:rsidRDefault="00980C3E" w:rsidP="00EF7485">
      <w:pPr>
        <w:jc w:val="both"/>
        <w:rPr>
          <w:noProof/>
        </w:rPr>
      </w:pPr>
      <w:r>
        <w:t xml:space="preserve">El </w:t>
      </w:r>
      <w:r>
        <w:rPr>
          <w:b/>
        </w:rPr>
        <w:t>[NOMBRE DE LA ENTIDAD]</w:t>
      </w:r>
      <w:r>
        <w:t xml:space="preserve"> está implementando políticas y procedimientos de protección para asegurar la continuidad de las operaciones. Las medidas que se están aplicando tienen por objeto reducir la propagación del coronavirus entre el personal y mantener un entorno de trabajo seguro y funcional. </w:t>
      </w:r>
    </w:p>
    <w:p w:rsidR="00980C3E" w:rsidRPr="00980C3E" w:rsidRDefault="00980C3E" w:rsidP="00EF7485">
      <w:pPr>
        <w:jc w:val="both"/>
        <w:rPr>
          <w:noProof/>
        </w:rPr>
      </w:pPr>
    </w:p>
    <w:p w:rsidR="00980C3E" w:rsidRPr="00980C3E" w:rsidRDefault="00980C3E" w:rsidP="00EF7485">
      <w:pPr>
        <w:jc w:val="both"/>
        <w:rPr>
          <w:noProof/>
        </w:rPr>
      </w:pPr>
      <w:r>
        <w:t xml:space="preserve">El entorno de trabajo de los puntos de respuesta de seguridad pública/centros de comunicaciones de emergencia tiene por objeto fomentar una comunicación eficiente entre las personas que trabajan en el sector de telecomunicaciones de seguridad pública. Las estaciones de despacho están </w:t>
      </w:r>
      <w:r w:rsidR="00C74B76">
        <w:t>situadas</w:t>
      </w:r>
      <w:r>
        <w:t xml:space="preserve"> una junto a la otra y el personal </w:t>
      </w:r>
      <w:r w:rsidR="00C74B76">
        <w:t>está</w:t>
      </w:r>
      <w:r>
        <w:t xml:space="preserve"> sentado a pocos metros de distancia</w:t>
      </w:r>
      <w:r w:rsidR="00FA32C4">
        <w:t xml:space="preserve"> uno de otro</w:t>
      </w:r>
      <w:r>
        <w:t xml:space="preserve">. Las siguientes medidas </w:t>
      </w:r>
      <w:r>
        <w:rPr>
          <w:b/>
          <w:bCs/>
        </w:rPr>
        <w:t>[pueden</w:t>
      </w:r>
      <w:r w:rsidR="00FA32C4">
        <w:rPr>
          <w:b/>
          <w:bCs/>
        </w:rPr>
        <w:t xml:space="preserve"> ser</w:t>
      </w:r>
      <w:r>
        <w:rPr>
          <w:b/>
          <w:bCs/>
        </w:rPr>
        <w:t>/</w:t>
      </w:r>
      <w:r w:rsidR="00FA32C4">
        <w:rPr>
          <w:b/>
          <w:bCs/>
        </w:rPr>
        <w:t>se</w:t>
      </w:r>
      <w:r>
        <w:rPr>
          <w:b/>
          <w:bCs/>
        </w:rPr>
        <w:t>rán/han sido]</w:t>
      </w:r>
      <w:r>
        <w:t xml:space="preserve"> implementadas con la finalidad de limitar la propagación del virus que provoca la COVID-19</w:t>
      </w:r>
      <w:r w:rsidR="00FA32C4">
        <w:t xml:space="preserve"> entre el personal</w:t>
      </w:r>
      <w:r>
        <w:t>.</w:t>
      </w:r>
    </w:p>
    <w:p w:rsidR="00980C3E" w:rsidRPr="00980C3E" w:rsidRDefault="00980C3E" w:rsidP="00EF7485">
      <w:pPr>
        <w:jc w:val="both"/>
        <w:rPr>
          <w:noProof/>
        </w:rPr>
      </w:pPr>
    </w:p>
    <w:p w:rsidR="00980C3E" w:rsidRPr="00980C3E" w:rsidRDefault="00980C3E" w:rsidP="00EF7485">
      <w:pPr>
        <w:numPr>
          <w:ilvl w:val="0"/>
          <w:numId w:val="28"/>
        </w:numPr>
        <w:jc w:val="both"/>
        <w:rPr>
          <w:b/>
          <w:bCs/>
          <w:noProof/>
        </w:rPr>
      </w:pPr>
      <w:r>
        <w:rPr>
          <w:b/>
        </w:rPr>
        <w:t>Tamizaje del personal</w:t>
      </w:r>
    </w:p>
    <w:p w:rsidR="00980C3E" w:rsidRPr="00980C3E" w:rsidRDefault="00980C3E" w:rsidP="00EF7485">
      <w:pPr>
        <w:jc w:val="both"/>
        <w:rPr>
          <w:noProof/>
        </w:rPr>
      </w:pPr>
    </w:p>
    <w:p w:rsidR="00980C3E" w:rsidRPr="00980C3E" w:rsidRDefault="00980C3E" w:rsidP="00EF7485">
      <w:pPr>
        <w:jc w:val="both"/>
        <w:rPr>
          <w:noProof/>
        </w:rPr>
      </w:pPr>
      <w:r>
        <w:t xml:space="preserve">El tamizaje de empleados en el </w:t>
      </w:r>
      <w:r w:rsidR="00FA32C4">
        <w:t xml:space="preserve">lugar </w:t>
      </w:r>
      <w:r>
        <w:t>de trabajo debe ser cuidadosamente evaluado y coordinado con el director ejecutivo de la entidad, el Departamento de Recursos Humanos, el Departamento de Gestión de Riesgos y el asesor legal.</w:t>
      </w:r>
    </w:p>
    <w:p w:rsidR="00980C3E" w:rsidRPr="00980C3E" w:rsidRDefault="00980C3E" w:rsidP="00EF7485">
      <w:pPr>
        <w:jc w:val="both"/>
        <w:rPr>
          <w:noProof/>
        </w:rPr>
      </w:pPr>
    </w:p>
    <w:p w:rsidR="00980C3E" w:rsidRPr="00980C3E" w:rsidRDefault="00980C3E" w:rsidP="00EF7485">
      <w:pPr>
        <w:jc w:val="both"/>
        <w:rPr>
          <w:noProof/>
        </w:rPr>
      </w:pPr>
      <w:r>
        <w:t xml:space="preserve">La EEOC ha publicado una guía titulada </w:t>
      </w:r>
      <w:r w:rsidR="002F45BA">
        <w:t>“</w:t>
      </w:r>
      <w:proofErr w:type="spellStart"/>
      <w:r>
        <w:t>Pandemic</w:t>
      </w:r>
      <w:proofErr w:type="spellEnd"/>
      <w:r>
        <w:t xml:space="preserve"> </w:t>
      </w:r>
      <w:proofErr w:type="spellStart"/>
      <w:r>
        <w:t>Preparedness</w:t>
      </w:r>
      <w:proofErr w:type="spellEnd"/>
      <w:r>
        <w:t xml:space="preserve"> in the </w:t>
      </w:r>
      <w:proofErr w:type="spellStart"/>
      <w:r>
        <w:t>Workplan</w:t>
      </w:r>
      <w:proofErr w:type="spellEnd"/>
      <w:r>
        <w:t xml:space="preserve"> and the </w:t>
      </w:r>
      <w:proofErr w:type="spellStart"/>
      <w:r>
        <w:t>Americans</w:t>
      </w:r>
      <w:proofErr w:type="spellEnd"/>
      <w:r>
        <w:t xml:space="preserve"> </w:t>
      </w:r>
      <w:proofErr w:type="spellStart"/>
      <w:r>
        <w:t>With</w:t>
      </w:r>
      <w:proofErr w:type="spellEnd"/>
      <w:r>
        <w:t xml:space="preserve"> </w:t>
      </w:r>
      <w:proofErr w:type="spellStart"/>
      <w:r>
        <w:t>Disabilities</w:t>
      </w:r>
      <w:proofErr w:type="spellEnd"/>
      <w:r>
        <w:t xml:space="preserve"> </w:t>
      </w:r>
      <w:proofErr w:type="spellStart"/>
      <w:r>
        <w:t>Act</w:t>
      </w:r>
      <w:proofErr w:type="spellEnd"/>
      <w:r w:rsidR="002F45BA">
        <w:t>”</w:t>
      </w:r>
      <w:r>
        <w:t xml:space="preserve">, que trata sobre el cumplimiento de lo dispuesto en la Ley para </w:t>
      </w:r>
      <w:r w:rsidR="00FA32C4">
        <w:t>P</w:t>
      </w:r>
      <w:r>
        <w:t xml:space="preserve">ersonas con </w:t>
      </w:r>
      <w:r w:rsidR="00FA32C4">
        <w:t>D</w:t>
      </w:r>
      <w:r>
        <w:t>iscapacidades</w:t>
      </w:r>
      <w:r w:rsidRPr="00980C3E">
        <w:rPr>
          <w:noProof/>
          <w:vertAlign w:val="superscript"/>
        </w:rPr>
        <w:footnoteReference w:id="7"/>
      </w:r>
      <w:r>
        <w:t xml:space="preserve"> (conocida</w:t>
      </w:r>
      <w:r w:rsidR="00FA32C4">
        <w:t xml:space="preserve"> en inglés</w:t>
      </w:r>
      <w:r>
        <w:t xml:space="preserve"> como ADA)</w:t>
      </w:r>
      <w:r>
        <w:rPr>
          <w:vertAlign w:val="superscript"/>
        </w:rPr>
        <w:t xml:space="preserve"> </w:t>
      </w:r>
      <w:r>
        <w:t>por parte de los empleadores en caso de una pandemia</w:t>
      </w:r>
      <w:r w:rsidRPr="00980C3E">
        <w:rPr>
          <w:rStyle w:val="FootnoteReference"/>
          <w:noProof/>
        </w:rPr>
        <w:footnoteReference w:id="8"/>
      </w:r>
      <w:r>
        <w:t>. Se insta a los administradores de los puntos de respuesta de seguridad pública/centros de comunicaciones de emergencia a que examinen las orientaciones y consulten con los funcionarios de recursos humanos en relación con las políticas locales derivadas de la ley antes mencionada.</w:t>
      </w:r>
    </w:p>
    <w:p w:rsidR="00980C3E" w:rsidRPr="00980C3E" w:rsidRDefault="00980C3E" w:rsidP="00EF7485">
      <w:pPr>
        <w:jc w:val="both"/>
        <w:rPr>
          <w:noProof/>
        </w:rPr>
      </w:pPr>
    </w:p>
    <w:p w:rsidR="00980C3E" w:rsidRPr="00980C3E" w:rsidRDefault="00980C3E" w:rsidP="00EF7485">
      <w:pPr>
        <w:jc w:val="both"/>
        <w:rPr>
          <w:noProof/>
        </w:rPr>
      </w:pPr>
      <w:r>
        <w:t>El tamizaje del personal en el lugar</w:t>
      </w:r>
      <w:r w:rsidR="00FA32C4">
        <w:t xml:space="preserve"> de trabajo</w:t>
      </w:r>
      <w:r>
        <w:t xml:space="preserve"> implica: a) entrevistar al empleado cuando llegue al trabajo con respecto a su estado de salud; b) observar al empleado para detectar signos y síntomas de COVID-19, y c) utilizar un termómetro para determinar si tiene una temperatura elevada.</w:t>
      </w:r>
    </w:p>
    <w:p w:rsidR="00980C3E" w:rsidRPr="00980C3E" w:rsidRDefault="00980C3E" w:rsidP="00EF7485">
      <w:pPr>
        <w:jc w:val="both"/>
        <w:rPr>
          <w:noProof/>
        </w:rPr>
      </w:pPr>
    </w:p>
    <w:p w:rsidR="00980C3E" w:rsidRPr="00980C3E" w:rsidRDefault="00980C3E" w:rsidP="00EF7485">
      <w:pPr>
        <w:jc w:val="both"/>
        <w:rPr>
          <w:noProof/>
        </w:rPr>
      </w:pPr>
      <w:r>
        <w:t>El tamizaje parece sencillo, pero de hecho implica muchas cuestiones complejas, entre ellas:</w:t>
      </w:r>
    </w:p>
    <w:p w:rsidR="00980C3E" w:rsidRPr="00980C3E" w:rsidRDefault="00980C3E" w:rsidP="00EF7485">
      <w:pPr>
        <w:jc w:val="both"/>
        <w:rPr>
          <w:noProof/>
        </w:rPr>
      </w:pPr>
    </w:p>
    <w:p w:rsidR="00980C3E" w:rsidRPr="00980C3E" w:rsidRDefault="00FA32C4" w:rsidP="00EF7485">
      <w:pPr>
        <w:pStyle w:val="ListParagraph"/>
        <w:numPr>
          <w:ilvl w:val="0"/>
          <w:numId w:val="56"/>
        </w:numPr>
        <w:jc w:val="both"/>
        <w:rPr>
          <w:noProof/>
          <w:color w:val="auto"/>
        </w:rPr>
      </w:pPr>
      <w:r>
        <w:rPr>
          <w:color w:val="auto"/>
        </w:rPr>
        <w:t>s</w:t>
      </w:r>
      <w:r w:rsidR="00980C3E">
        <w:rPr>
          <w:color w:val="auto"/>
        </w:rPr>
        <w:t>elección, capacitación y disponibilidad de personal para realizar el tamizaje;</w:t>
      </w:r>
    </w:p>
    <w:p w:rsidR="00980C3E" w:rsidRPr="00980C3E" w:rsidRDefault="00FA32C4" w:rsidP="00EF7485">
      <w:pPr>
        <w:pStyle w:val="ListParagraph"/>
        <w:numPr>
          <w:ilvl w:val="0"/>
          <w:numId w:val="56"/>
        </w:numPr>
        <w:jc w:val="both"/>
        <w:rPr>
          <w:noProof/>
          <w:color w:val="auto"/>
        </w:rPr>
      </w:pPr>
      <w:r>
        <w:rPr>
          <w:color w:val="auto"/>
        </w:rPr>
        <w:lastRenderedPageBreak/>
        <w:t>s</w:t>
      </w:r>
      <w:r w:rsidR="00980C3E">
        <w:rPr>
          <w:color w:val="auto"/>
        </w:rPr>
        <w:t>uministro de la mascarilla tipo N95 aprobad</w:t>
      </w:r>
      <w:r w:rsidR="00587AF3">
        <w:rPr>
          <w:color w:val="auto"/>
        </w:rPr>
        <w:t>a</w:t>
      </w:r>
      <w:r w:rsidR="00980C3E">
        <w:rPr>
          <w:color w:val="auto"/>
        </w:rPr>
        <w:t xml:space="preserve"> por el Instituto Nacional para la Seguridad y Salud Ocupacionales (conocido en inglés como NIOSH) a quienes realizan el tamizaje, y la capacitación de los usuarios conforme a la norma 29 CRR1910.134</w:t>
      </w:r>
      <w:r w:rsidR="00980C3E" w:rsidRPr="00980C3E">
        <w:rPr>
          <w:rStyle w:val="FootnoteReference"/>
          <w:noProof/>
          <w:color w:val="auto"/>
        </w:rPr>
        <w:footnoteReference w:id="9"/>
      </w:r>
      <w:r w:rsidR="00980C3E">
        <w:rPr>
          <w:color w:val="auto"/>
        </w:rPr>
        <w:t xml:space="preserve">; </w:t>
      </w:r>
    </w:p>
    <w:p w:rsidR="00980C3E" w:rsidRPr="00980C3E" w:rsidRDefault="00FA32C4" w:rsidP="00EF7485">
      <w:pPr>
        <w:pStyle w:val="ListParagraph"/>
        <w:numPr>
          <w:ilvl w:val="0"/>
          <w:numId w:val="56"/>
        </w:numPr>
        <w:jc w:val="both"/>
        <w:rPr>
          <w:noProof/>
          <w:color w:val="auto"/>
        </w:rPr>
      </w:pPr>
      <w:r>
        <w:rPr>
          <w:color w:val="auto"/>
        </w:rPr>
        <w:t>l</w:t>
      </w:r>
      <w:r w:rsidR="00980C3E">
        <w:rPr>
          <w:color w:val="auto"/>
        </w:rPr>
        <w:t>a posible creación de documentos y registros que pueden ser clasificados como información médica confidencial que está sujeta a las disposiciones de la Ley de Portabilidad y Responsabilidad del Seguro Médico (conocid</w:t>
      </w:r>
      <w:r>
        <w:rPr>
          <w:color w:val="auto"/>
        </w:rPr>
        <w:t>a</w:t>
      </w:r>
      <w:r w:rsidR="00980C3E">
        <w:rPr>
          <w:color w:val="auto"/>
        </w:rPr>
        <w:t xml:space="preserve"> en inglés como HIPAA)</w:t>
      </w:r>
      <w:r w:rsidR="00980C3E" w:rsidRPr="00980C3E">
        <w:rPr>
          <w:rStyle w:val="FootnoteReference"/>
          <w:noProof/>
          <w:color w:val="auto"/>
        </w:rPr>
        <w:footnoteReference w:id="10"/>
      </w:r>
      <w:r w:rsidR="0081253D">
        <w:rPr>
          <w:color w:val="auto"/>
        </w:rPr>
        <w:t>; y</w:t>
      </w:r>
    </w:p>
    <w:p w:rsidR="00980C3E" w:rsidRPr="00980C3E" w:rsidRDefault="00587AF3" w:rsidP="00EF7485">
      <w:pPr>
        <w:pStyle w:val="ListParagraph"/>
        <w:numPr>
          <w:ilvl w:val="0"/>
          <w:numId w:val="56"/>
        </w:numPr>
        <w:jc w:val="both"/>
        <w:rPr>
          <w:noProof/>
          <w:color w:val="auto"/>
        </w:rPr>
      </w:pPr>
      <w:r>
        <w:rPr>
          <w:color w:val="auto"/>
        </w:rPr>
        <w:t>s</w:t>
      </w:r>
      <w:r w:rsidR="00980C3E">
        <w:rPr>
          <w:color w:val="auto"/>
        </w:rPr>
        <w:t>elección y disponibilidad de termómetros y de</w:t>
      </w:r>
      <w:r>
        <w:rPr>
          <w:color w:val="auto"/>
        </w:rPr>
        <w:t xml:space="preserve"> materiales para</w:t>
      </w:r>
      <w:r w:rsidR="00980C3E">
        <w:rPr>
          <w:color w:val="auto"/>
        </w:rPr>
        <w:t xml:space="preserve"> desinfección/esterilización. </w:t>
      </w:r>
    </w:p>
    <w:p w:rsidR="00980C3E" w:rsidRPr="00980C3E" w:rsidRDefault="00980C3E" w:rsidP="00EF7485">
      <w:pPr>
        <w:jc w:val="both"/>
        <w:rPr>
          <w:noProof/>
        </w:rPr>
      </w:pPr>
    </w:p>
    <w:p w:rsidR="00980C3E" w:rsidRPr="00980C3E" w:rsidRDefault="00EF64AA" w:rsidP="00EF7485">
      <w:pPr>
        <w:jc w:val="both"/>
        <w:rPr>
          <w:noProof/>
        </w:rPr>
      </w:pPr>
      <w:r>
        <w:t>Automatizado</w:t>
      </w:r>
    </w:p>
    <w:p w:rsidR="00980C3E" w:rsidRPr="00980C3E" w:rsidRDefault="00980C3E" w:rsidP="00EF7485">
      <w:pPr>
        <w:jc w:val="both"/>
        <w:rPr>
          <w:noProof/>
        </w:rPr>
      </w:pPr>
    </w:p>
    <w:p w:rsidR="00980C3E" w:rsidRPr="00980C3E" w:rsidRDefault="00980C3E" w:rsidP="00EF7485">
      <w:pPr>
        <w:pStyle w:val="ListParagraph"/>
        <w:numPr>
          <w:ilvl w:val="0"/>
          <w:numId w:val="39"/>
        </w:numPr>
        <w:jc w:val="both"/>
        <w:rPr>
          <w:noProof/>
        </w:rPr>
      </w:pPr>
      <w:r>
        <w:t>Los empleados deben monitorearse a sí mismos y estar pendientes de la aparición de signos y síntomas asociados con la COVID-19 (por ejemplo, fiebre, tos, dolores de pecho, disnea).</w:t>
      </w:r>
    </w:p>
    <w:p w:rsidR="00980C3E" w:rsidRPr="00980C3E" w:rsidRDefault="00980C3E" w:rsidP="00EF7485">
      <w:pPr>
        <w:ind w:left="540" w:hanging="540"/>
        <w:jc w:val="both"/>
        <w:rPr>
          <w:noProof/>
        </w:rPr>
      </w:pPr>
    </w:p>
    <w:p w:rsidR="00980C3E" w:rsidRPr="00980C3E" w:rsidRDefault="00980C3E" w:rsidP="00EF7485">
      <w:pPr>
        <w:pStyle w:val="ListParagraph"/>
        <w:numPr>
          <w:ilvl w:val="0"/>
          <w:numId w:val="13"/>
        </w:numPr>
        <w:ind w:left="360"/>
        <w:jc w:val="both"/>
        <w:rPr>
          <w:noProof/>
        </w:rPr>
      </w:pPr>
      <w:r>
        <w:t xml:space="preserve">Los empleados que presenten síntomas o </w:t>
      </w:r>
      <w:r w:rsidR="0086354D">
        <w:t xml:space="preserve">que </w:t>
      </w:r>
      <w:r>
        <w:t>crean est</w:t>
      </w:r>
      <w:r w:rsidR="0086354D">
        <w:t>ar</w:t>
      </w:r>
      <w:r>
        <w:t xml:space="preserve"> enfermos deben notificar a su supervisor y no presentarse al trabajo. </w:t>
      </w:r>
    </w:p>
    <w:p w:rsidR="00980C3E" w:rsidRPr="00980C3E" w:rsidRDefault="00980C3E" w:rsidP="002313E6">
      <w:pPr>
        <w:jc w:val="both"/>
        <w:rPr>
          <w:noProof/>
        </w:rPr>
      </w:pPr>
    </w:p>
    <w:p w:rsidR="00980C3E" w:rsidRPr="00980C3E" w:rsidRDefault="00980C3E" w:rsidP="00EF7485">
      <w:pPr>
        <w:pStyle w:val="ListParagraph"/>
        <w:numPr>
          <w:ilvl w:val="0"/>
          <w:numId w:val="13"/>
        </w:numPr>
        <w:ind w:left="360"/>
        <w:jc w:val="both"/>
        <w:rPr>
          <w:noProof/>
        </w:rPr>
      </w:pPr>
      <w:r>
        <w:t>Los empleados que se enfermen o presenten síntomas mientras están en el trabajo deben dejar el lugar y mantenerse aislados de los demás empleados:</w:t>
      </w:r>
    </w:p>
    <w:p w:rsidR="00980C3E" w:rsidRPr="00980C3E" w:rsidRDefault="00980C3E" w:rsidP="00EF7485">
      <w:pPr>
        <w:pStyle w:val="ListParagraph"/>
        <w:numPr>
          <w:ilvl w:val="0"/>
          <w:numId w:val="14"/>
        </w:numPr>
        <w:ind w:left="720"/>
        <w:jc w:val="both"/>
        <w:rPr>
          <w:noProof/>
        </w:rPr>
      </w:pPr>
      <w:r>
        <w:t>Quienes estén en buen estado podrán conducir sus propios automóviles para dirigirse a sus respectivas casas.</w:t>
      </w:r>
    </w:p>
    <w:p w:rsidR="00980C3E" w:rsidRPr="00980C3E" w:rsidRDefault="00980C3E" w:rsidP="00EF7485">
      <w:pPr>
        <w:pStyle w:val="ListParagraph"/>
        <w:numPr>
          <w:ilvl w:val="0"/>
          <w:numId w:val="14"/>
        </w:numPr>
        <w:ind w:left="720"/>
        <w:jc w:val="both"/>
        <w:rPr>
          <w:noProof/>
        </w:rPr>
      </w:pPr>
      <w:r>
        <w:t>Quienes no estén en buen estado deberán ser atendidos por el personal de urgencias médicas o solicitar que alguna persona venga a recogerlos a su lugar de trabajo.</w:t>
      </w:r>
    </w:p>
    <w:p w:rsidR="00980C3E" w:rsidRPr="00980C3E" w:rsidRDefault="00980C3E" w:rsidP="00EF7485">
      <w:pPr>
        <w:pStyle w:val="ListParagraph"/>
        <w:numPr>
          <w:ilvl w:val="0"/>
          <w:numId w:val="14"/>
        </w:numPr>
        <w:ind w:left="720"/>
        <w:jc w:val="both"/>
        <w:rPr>
          <w:noProof/>
        </w:rPr>
      </w:pPr>
      <w:r>
        <w:t xml:space="preserve">Los empleados que se enfermen deben solicitar inmediatamente instrucciones para recibir atención médica. </w:t>
      </w:r>
    </w:p>
    <w:p w:rsidR="00980C3E" w:rsidRPr="00980C3E" w:rsidRDefault="00980C3E" w:rsidP="002313E6">
      <w:pPr>
        <w:jc w:val="both"/>
        <w:rPr>
          <w:noProof/>
        </w:rPr>
      </w:pPr>
    </w:p>
    <w:p w:rsidR="00980C3E" w:rsidRPr="00980C3E" w:rsidRDefault="00980C3E" w:rsidP="00EF7485">
      <w:pPr>
        <w:pStyle w:val="ListParagraph"/>
        <w:numPr>
          <w:ilvl w:val="0"/>
          <w:numId w:val="15"/>
        </w:numPr>
        <w:ind w:left="360"/>
        <w:jc w:val="both"/>
        <w:rPr>
          <w:noProof/>
        </w:rPr>
      </w:pPr>
      <w:r>
        <w:t>Los empleados que convivan con una persona o que tengan un contacto cercano que haya sido diagnosticado o que presente síntomas deben notificar a su supervisor y no deben presentarse a trabajar.</w:t>
      </w:r>
    </w:p>
    <w:p w:rsidR="00980C3E" w:rsidRPr="00980C3E" w:rsidRDefault="00980C3E" w:rsidP="002313E6">
      <w:pPr>
        <w:jc w:val="both"/>
        <w:rPr>
          <w:noProof/>
        </w:rPr>
      </w:pPr>
    </w:p>
    <w:p w:rsidR="00980C3E" w:rsidRPr="00980C3E" w:rsidRDefault="00980C3E" w:rsidP="00EF7485">
      <w:pPr>
        <w:pStyle w:val="ListParagraph"/>
        <w:numPr>
          <w:ilvl w:val="0"/>
          <w:numId w:val="15"/>
        </w:numPr>
        <w:ind w:left="360"/>
        <w:jc w:val="both"/>
        <w:rPr>
          <w:noProof/>
        </w:rPr>
      </w:pPr>
      <w:r>
        <w:t>Los empleados no deben volver al trabajo sino hasta que se hayan recuperado completamente y estén libres de síntomas o que tengan el visto bueno de un profesional médico o del Departamento de Salud local. Los administradores deben consultar con los funcionarios del Departamento de Recursos Humanos o su asesor jurídico sobre los requisitos para otorgar una autorización para volver al trabajo.</w:t>
      </w:r>
    </w:p>
    <w:p w:rsidR="00980C3E" w:rsidRPr="00980C3E" w:rsidRDefault="00980C3E" w:rsidP="0081253D">
      <w:pPr>
        <w:jc w:val="both"/>
        <w:rPr>
          <w:noProof/>
        </w:rPr>
      </w:pPr>
    </w:p>
    <w:p w:rsidR="00980C3E" w:rsidRPr="00980C3E" w:rsidRDefault="00980C3E" w:rsidP="00EF7485">
      <w:pPr>
        <w:pStyle w:val="ListParagraph"/>
        <w:numPr>
          <w:ilvl w:val="0"/>
          <w:numId w:val="15"/>
        </w:numPr>
        <w:ind w:left="360"/>
        <w:jc w:val="both"/>
        <w:rPr>
          <w:noProof/>
        </w:rPr>
      </w:pPr>
      <w:r>
        <w:t>Rec</w:t>
      </w:r>
      <w:r w:rsidR="0086354D">
        <w:t>ordar</w:t>
      </w:r>
      <w:r>
        <w:t xml:space="preserve"> a los empleados que recurran a un profesional </w:t>
      </w:r>
      <w:r w:rsidR="00C74B76">
        <w:t>médico</w:t>
      </w:r>
      <w:r>
        <w:t xml:space="preserve"> si ellos o cualquier miembro de la familia experimenta algún síntoma similar a la gripe.</w:t>
      </w:r>
    </w:p>
    <w:p w:rsidR="00980C3E" w:rsidRPr="00980C3E" w:rsidRDefault="00980C3E" w:rsidP="00EF7485">
      <w:pPr>
        <w:jc w:val="both"/>
        <w:rPr>
          <w:noProof/>
        </w:rPr>
      </w:pPr>
    </w:p>
    <w:p w:rsidR="00980C3E" w:rsidRPr="00980C3E" w:rsidRDefault="00980C3E" w:rsidP="00EF7485">
      <w:pPr>
        <w:pStyle w:val="ListParagraph"/>
        <w:numPr>
          <w:ilvl w:val="0"/>
          <w:numId w:val="15"/>
        </w:numPr>
        <w:ind w:left="360"/>
        <w:jc w:val="both"/>
        <w:rPr>
          <w:noProof/>
        </w:rPr>
      </w:pPr>
      <w:r>
        <w:lastRenderedPageBreak/>
        <w:t xml:space="preserve">Si es necesario realizar pruebas de COVID-19, los puntos de respuesta de seguridad pública/centros de comunicaciones de emergencia deben seguir las directrices de los CDC </w:t>
      </w:r>
      <w:hyperlink r:id="rId23" w:history="1">
        <w:r>
          <w:rPr>
            <w:rStyle w:val="Hyperlink"/>
          </w:rPr>
          <w:t>relativas las pruebas de COVID-19</w:t>
        </w:r>
      </w:hyperlink>
      <w:r>
        <w:t>, así como cualquier otras directrices proporcionadas por las autoridades con respecto a las pruebas prioritarias para las personas que trabajan en el sector de telecomunicaciones de seguridad pública dado que son consideradas como personal esencial.</w:t>
      </w:r>
    </w:p>
    <w:p w:rsidR="00980C3E" w:rsidRPr="00980C3E" w:rsidRDefault="00980C3E" w:rsidP="0081253D">
      <w:pPr>
        <w:jc w:val="both"/>
        <w:rPr>
          <w:noProof/>
        </w:rPr>
      </w:pPr>
    </w:p>
    <w:p w:rsidR="00980C3E" w:rsidRPr="00980C3E" w:rsidRDefault="00980C3E" w:rsidP="00EF7485">
      <w:pPr>
        <w:numPr>
          <w:ilvl w:val="0"/>
          <w:numId w:val="28"/>
        </w:numPr>
        <w:jc w:val="both"/>
        <w:rPr>
          <w:b/>
          <w:bCs/>
          <w:noProof/>
        </w:rPr>
      </w:pPr>
      <w:r>
        <w:rPr>
          <w:b/>
        </w:rPr>
        <w:t>Higiene personal</w:t>
      </w:r>
    </w:p>
    <w:p w:rsidR="00980C3E" w:rsidRPr="00980C3E" w:rsidRDefault="00980C3E" w:rsidP="00EF7485">
      <w:pPr>
        <w:jc w:val="both"/>
        <w:rPr>
          <w:noProof/>
        </w:rPr>
      </w:pPr>
    </w:p>
    <w:p w:rsidR="00980C3E" w:rsidRPr="00980C3E" w:rsidRDefault="00980C3E" w:rsidP="00EF7485">
      <w:pPr>
        <w:jc w:val="both"/>
        <w:rPr>
          <w:noProof/>
        </w:rPr>
      </w:pPr>
      <w:bookmarkStart w:id="3" w:name="_Hlk39753215"/>
      <w:r>
        <w:t>Todos los empleados siempre deben ser cuidadosos con su higiene personal. En las presentes circunstancias, es especialmente importante adoptar las siguientes costumbres:</w:t>
      </w:r>
    </w:p>
    <w:bookmarkEnd w:id="3"/>
    <w:p w:rsidR="00980C3E" w:rsidRPr="00980C3E" w:rsidRDefault="00980C3E" w:rsidP="00EF7485">
      <w:pPr>
        <w:ind w:left="540" w:hanging="540"/>
        <w:jc w:val="both"/>
        <w:rPr>
          <w:noProof/>
        </w:rPr>
      </w:pPr>
    </w:p>
    <w:p w:rsidR="00980C3E" w:rsidRPr="00980C3E" w:rsidRDefault="00980C3E" w:rsidP="00EF7485">
      <w:pPr>
        <w:pStyle w:val="ListParagraph"/>
        <w:numPr>
          <w:ilvl w:val="1"/>
          <w:numId w:val="16"/>
        </w:numPr>
        <w:ind w:left="360"/>
        <w:jc w:val="both"/>
        <w:rPr>
          <w:noProof/>
        </w:rPr>
      </w:pPr>
      <w:r>
        <w:t>Lavarse las manos con frecuencia con agua y jabón durante al menos 20 segundos.</w:t>
      </w:r>
    </w:p>
    <w:p w:rsidR="00980C3E" w:rsidRPr="00980C3E" w:rsidRDefault="00980C3E" w:rsidP="00EF7485">
      <w:pPr>
        <w:pStyle w:val="ListParagraph"/>
        <w:numPr>
          <w:ilvl w:val="0"/>
          <w:numId w:val="16"/>
        </w:numPr>
        <w:ind w:left="360"/>
        <w:jc w:val="both"/>
        <w:rPr>
          <w:noProof/>
        </w:rPr>
      </w:pPr>
      <w:r>
        <w:t>Utilizar un desinfectante para manos a base de alcohol cuando no tengan a la mano agua y jabón.</w:t>
      </w:r>
    </w:p>
    <w:p w:rsidR="00980C3E" w:rsidRPr="00980C3E" w:rsidRDefault="00980C3E" w:rsidP="00EF7485">
      <w:pPr>
        <w:pStyle w:val="ListParagraph"/>
        <w:numPr>
          <w:ilvl w:val="0"/>
          <w:numId w:val="16"/>
        </w:numPr>
        <w:ind w:left="360"/>
        <w:jc w:val="both"/>
        <w:rPr>
          <w:noProof/>
        </w:rPr>
      </w:pPr>
      <w:r>
        <w:t>Evitar tocarse la cara, los ojos, la nariz, la boca y otras membranas mucosas.</w:t>
      </w:r>
    </w:p>
    <w:p w:rsidR="00980C3E" w:rsidRPr="00980C3E" w:rsidRDefault="00980C3E" w:rsidP="00EF7485">
      <w:pPr>
        <w:pStyle w:val="ListParagraph"/>
        <w:numPr>
          <w:ilvl w:val="0"/>
          <w:numId w:val="16"/>
        </w:numPr>
        <w:ind w:left="360"/>
        <w:jc w:val="both"/>
        <w:rPr>
          <w:noProof/>
        </w:rPr>
      </w:pPr>
      <w:r>
        <w:t>Tener precaución al toser y estornudar, cubriéndose la boca y la nariz.</w:t>
      </w:r>
    </w:p>
    <w:p w:rsidR="00980C3E" w:rsidRPr="00980C3E" w:rsidRDefault="00980C3E" w:rsidP="00EF7485">
      <w:pPr>
        <w:pStyle w:val="ListParagraph"/>
        <w:numPr>
          <w:ilvl w:val="0"/>
          <w:numId w:val="16"/>
        </w:numPr>
        <w:ind w:left="360"/>
        <w:jc w:val="both"/>
        <w:rPr>
          <w:noProof/>
        </w:rPr>
      </w:pPr>
      <w:r>
        <w:t xml:space="preserve">Poner en el </w:t>
      </w:r>
      <w:r w:rsidR="0086354D">
        <w:t>c</w:t>
      </w:r>
      <w:r w:rsidR="00B90B6E">
        <w:t>ubo</w:t>
      </w:r>
      <w:r>
        <w:t xml:space="preserve"> de basura los pañuelos desechables tan pronto hayan sido utilizados. </w:t>
      </w:r>
    </w:p>
    <w:p w:rsidR="00980C3E" w:rsidRPr="00980C3E" w:rsidRDefault="00980C3E" w:rsidP="00EF7485">
      <w:pPr>
        <w:jc w:val="both"/>
        <w:rPr>
          <w:noProof/>
        </w:rPr>
      </w:pPr>
    </w:p>
    <w:p w:rsidR="00980C3E" w:rsidRPr="00980C3E" w:rsidRDefault="00980C3E" w:rsidP="00EF7485">
      <w:pPr>
        <w:numPr>
          <w:ilvl w:val="0"/>
          <w:numId w:val="28"/>
        </w:numPr>
        <w:jc w:val="both"/>
        <w:rPr>
          <w:b/>
          <w:bCs/>
          <w:noProof/>
        </w:rPr>
      </w:pPr>
      <w:r>
        <w:rPr>
          <w:b/>
        </w:rPr>
        <w:t>Distanciamiento social</w:t>
      </w:r>
    </w:p>
    <w:p w:rsidR="00980C3E" w:rsidRPr="00980C3E" w:rsidRDefault="00980C3E" w:rsidP="00EF7485">
      <w:pPr>
        <w:jc w:val="both"/>
        <w:rPr>
          <w:noProof/>
        </w:rPr>
      </w:pPr>
    </w:p>
    <w:p w:rsidR="00980C3E" w:rsidRPr="00980C3E" w:rsidRDefault="00980C3E" w:rsidP="00EF7485">
      <w:pPr>
        <w:jc w:val="both"/>
        <w:rPr>
          <w:noProof/>
        </w:rPr>
      </w:pPr>
      <w:r>
        <w:t xml:space="preserve">Los CDC recomiendan que los empleados y otras personas que entren a las instalaciones de los puntos de respuesta de seguridad pública/centros de comunicaciones de emergencia mantengan una distancia de por lo menos dos metros entre sí. Quizás esto sea difícil mientras se trabaja en los puntos de respuesta de seguridad pública/centros de comunicaciones de emergencia. </w:t>
      </w:r>
    </w:p>
    <w:p w:rsidR="00980C3E" w:rsidRPr="00980C3E" w:rsidRDefault="00980C3E" w:rsidP="00EF7485">
      <w:pPr>
        <w:jc w:val="both"/>
        <w:rPr>
          <w:noProof/>
        </w:rPr>
      </w:pPr>
    </w:p>
    <w:p w:rsidR="00980C3E" w:rsidRPr="00980C3E" w:rsidRDefault="00980C3E" w:rsidP="00EF7485">
      <w:pPr>
        <w:pStyle w:val="ListParagraph"/>
        <w:numPr>
          <w:ilvl w:val="0"/>
          <w:numId w:val="26"/>
        </w:numPr>
        <w:jc w:val="both"/>
        <w:rPr>
          <w:noProof/>
        </w:rPr>
      </w:pPr>
      <w:r>
        <w:t xml:space="preserve">Si es posible, las personas que trabajan en el sector de telecomunicaciones de seguridad pública deben ser asignadas a estaciones de trabajo separadas una de otra. </w:t>
      </w:r>
    </w:p>
    <w:p w:rsidR="00980C3E" w:rsidRPr="00980C3E" w:rsidRDefault="00980C3E" w:rsidP="00EF7485">
      <w:pPr>
        <w:pStyle w:val="ListParagraph"/>
        <w:numPr>
          <w:ilvl w:val="0"/>
          <w:numId w:val="26"/>
        </w:numPr>
        <w:jc w:val="both"/>
        <w:rPr>
          <w:noProof/>
        </w:rPr>
      </w:pPr>
      <w:r>
        <w:t>Limitar el acceso a los puntos de respuesta de seguridad pública/centros de comunicaciones de emergencia solo a los empleados esenciales. (Esto podría variar de una jurisdicción a otra.)</w:t>
      </w:r>
    </w:p>
    <w:p w:rsidR="00980C3E" w:rsidRPr="00980C3E" w:rsidRDefault="00980C3E" w:rsidP="00EF7485">
      <w:pPr>
        <w:pStyle w:val="ListParagraph"/>
        <w:numPr>
          <w:ilvl w:val="0"/>
          <w:numId w:val="26"/>
        </w:numPr>
        <w:jc w:val="both"/>
        <w:rPr>
          <w:noProof/>
        </w:rPr>
      </w:pPr>
      <w:r>
        <w:t>Limitar el acceso a las salas de capacitación y de conferencias solo al personal esencial.</w:t>
      </w:r>
    </w:p>
    <w:p w:rsidR="00980C3E" w:rsidRPr="00980C3E" w:rsidRDefault="00980C3E" w:rsidP="00EF7485">
      <w:pPr>
        <w:pStyle w:val="ListParagraph"/>
        <w:numPr>
          <w:ilvl w:val="0"/>
          <w:numId w:val="26"/>
        </w:numPr>
        <w:jc w:val="both"/>
        <w:rPr>
          <w:noProof/>
        </w:rPr>
      </w:pPr>
      <w:r>
        <w:t>Evitar congregarse a la hora de hacer visitas o realizar sesiones informativas por turnos. En lugar de ello, es conveniente utilizar otros medios como las aplicaciones de chat en computadora o teléfono inteligente (por ejemplo, la mensajería instantánea).</w:t>
      </w:r>
    </w:p>
    <w:p w:rsidR="00980C3E" w:rsidRPr="00980C3E" w:rsidRDefault="00980C3E" w:rsidP="00EF7485">
      <w:pPr>
        <w:pStyle w:val="ListParagraph"/>
        <w:numPr>
          <w:ilvl w:val="0"/>
          <w:numId w:val="26"/>
        </w:numPr>
        <w:jc w:val="both"/>
        <w:rPr>
          <w:noProof/>
        </w:rPr>
      </w:pPr>
      <w:r>
        <w:t>Estas reglas y restricciones se aplican a cualquier persona que entre en las instalaciones de los puntos de respuesta de seguridad pública/centros de comunicaciones de emergencia.</w:t>
      </w:r>
    </w:p>
    <w:p w:rsidR="00980C3E" w:rsidRPr="00980C3E" w:rsidRDefault="00980C3E" w:rsidP="00EF7485">
      <w:pPr>
        <w:pStyle w:val="ListParagraph"/>
        <w:numPr>
          <w:ilvl w:val="0"/>
          <w:numId w:val="26"/>
        </w:numPr>
        <w:jc w:val="both"/>
        <w:rPr>
          <w:noProof/>
        </w:rPr>
      </w:pPr>
      <w:r>
        <w:t>Cancelar los grupos de visitantes externos o las visitas a edificios.</w:t>
      </w:r>
    </w:p>
    <w:p w:rsidR="00980C3E" w:rsidRPr="00980C3E" w:rsidRDefault="00980C3E" w:rsidP="00EF7485">
      <w:pPr>
        <w:jc w:val="both"/>
        <w:rPr>
          <w:noProof/>
        </w:rPr>
      </w:pPr>
    </w:p>
    <w:p w:rsidR="00980C3E" w:rsidRPr="00980C3E" w:rsidRDefault="00980C3E" w:rsidP="00EF7485">
      <w:pPr>
        <w:jc w:val="both"/>
        <w:rPr>
          <w:noProof/>
        </w:rPr>
      </w:pPr>
      <w:r>
        <w:t xml:space="preserve">Otras opciones a tener en mente: </w:t>
      </w:r>
    </w:p>
    <w:p w:rsidR="00980C3E" w:rsidRPr="00980C3E" w:rsidRDefault="00980C3E" w:rsidP="00EF7485">
      <w:pPr>
        <w:jc w:val="both"/>
        <w:rPr>
          <w:noProof/>
        </w:rPr>
      </w:pPr>
    </w:p>
    <w:p w:rsidR="00980C3E" w:rsidRPr="00980C3E" w:rsidRDefault="00980C3E" w:rsidP="00EF7485">
      <w:pPr>
        <w:pStyle w:val="ListParagraph"/>
        <w:numPr>
          <w:ilvl w:val="0"/>
          <w:numId w:val="25"/>
        </w:numPr>
        <w:jc w:val="both"/>
        <w:rPr>
          <w:noProof/>
        </w:rPr>
      </w:pPr>
      <w:r>
        <w:t xml:space="preserve">Considerar la posibilidad de dividir al personal entre las </w:t>
      </w:r>
      <w:r w:rsidR="0086354D">
        <w:t>i</w:t>
      </w:r>
      <w:r>
        <w:t>nstalaciones principal y de reserva.</w:t>
      </w:r>
    </w:p>
    <w:p w:rsidR="00980C3E" w:rsidRPr="00980C3E" w:rsidRDefault="00980C3E" w:rsidP="00EF7485">
      <w:pPr>
        <w:pStyle w:val="ListParagraph"/>
        <w:numPr>
          <w:ilvl w:val="0"/>
          <w:numId w:val="25"/>
        </w:numPr>
        <w:jc w:val="both"/>
        <w:rPr>
          <w:noProof/>
        </w:rPr>
      </w:pPr>
      <w:r>
        <w:lastRenderedPageBreak/>
        <w:t>Considerar el uso de un vehículo de comando móvil o un lugar alternativo, en caso de contaminación de las instalaciones de los puntos de respuesta de seguridad pública/centros de comunicaciones de emergencia.</w:t>
      </w:r>
    </w:p>
    <w:p w:rsidR="00980C3E" w:rsidRPr="00980C3E" w:rsidRDefault="00980C3E" w:rsidP="00EF7485">
      <w:pPr>
        <w:pStyle w:val="ListParagraph"/>
        <w:numPr>
          <w:ilvl w:val="0"/>
          <w:numId w:val="25"/>
        </w:numPr>
        <w:jc w:val="both"/>
        <w:rPr>
          <w:noProof/>
        </w:rPr>
      </w:pPr>
      <w:r>
        <w:t>Establecer acuerdos o políticas de ayuda mutua con los puntos de respuesta de seguridad pública/centros de comunicaciones de emergencia vecinos para complementar el personal, según sea necesario.</w:t>
      </w:r>
    </w:p>
    <w:p w:rsidR="00980C3E" w:rsidRPr="00980C3E" w:rsidRDefault="00980C3E" w:rsidP="00EF7485">
      <w:pPr>
        <w:pStyle w:val="ListParagraph"/>
        <w:numPr>
          <w:ilvl w:val="0"/>
          <w:numId w:val="25"/>
        </w:numPr>
        <w:jc w:val="both"/>
        <w:rPr>
          <w:noProof/>
        </w:rPr>
      </w:pPr>
      <w:r>
        <w:t>Revisar las políticas de enrutamiento alternativo para transferir las llamadas que no sean de emergencia, las llamadas de emergencia y el tráfico de radio a otras jurisdicciones o a lugares secundarios, si es que están disponibles.</w:t>
      </w:r>
    </w:p>
    <w:p w:rsidR="00980C3E" w:rsidRPr="00980C3E" w:rsidRDefault="00980C3E" w:rsidP="00EF7485">
      <w:pPr>
        <w:pStyle w:val="ListParagraph"/>
        <w:numPr>
          <w:ilvl w:val="0"/>
          <w:numId w:val="25"/>
        </w:numPr>
        <w:jc w:val="both"/>
        <w:rPr>
          <w:noProof/>
        </w:rPr>
      </w:pPr>
      <w:r>
        <w:t>Revisar los planes de evacuación y reubicación con el personal.</w:t>
      </w:r>
    </w:p>
    <w:p w:rsidR="00980C3E" w:rsidRPr="00980C3E" w:rsidRDefault="00980C3E" w:rsidP="00EF7485">
      <w:pPr>
        <w:jc w:val="both"/>
        <w:rPr>
          <w:noProof/>
        </w:rPr>
      </w:pPr>
    </w:p>
    <w:p w:rsidR="00980C3E" w:rsidRPr="00980C3E" w:rsidRDefault="00980C3E" w:rsidP="00EF7485">
      <w:pPr>
        <w:numPr>
          <w:ilvl w:val="0"/>
          <w:numId w:val="28"/>
        </w:numPr>
        <w:jc w:val="both"/>
        <w:rPr>
          <w:b/>
          <w:bCs/>
          <w:noProof/>
        </w:rPr>
      </w:pPr>
      <w:r>
        <w:rPr>
          <w:b/>
        </w:rPr>
        <w:t>Limpieza frecuente de los espacios de trabajo</w:t>
      </w:r>
    </w:p>
    <w:p w:rsidR="00980C3E" w:rsidRPr="00980C3E" w:rsidRDefault="00980C3E" w:rsidP="00EF7485">
      <w:pPr>
        <w:jc w:val="both"/>
        <w:rPr>
          <w:noProof/>
        </w:rPr>
      </w:pPr>
    </w:p>
    <w:p w:rsidR="00980C3E" w:rsidRPr="00980C3E" w:rsidRDefault="00980C3E" w:rsidP="00EF7485">
      <w:pPr>
        <w:jc w:val="both"/>
        <w:rPr>
          <w:noProof/>
        </w:rPr>
      </w:pPr>
      <w:r>
        <w:t xml:space="preserve">El virus causante de la COVID-19 puede sobrevivir en diversas superficies durante varios días. Es importante desinfectar todas las superficies en el lugar de trabajo de forma regular. Las superficies de los espacios de trabajo compartidos (como estaciones de trabajo, escritorios, áreas de descanso y baños) deben ser limpiados antes y después de cada uso. </w:t>
      </w:r>
    </w:p>
    <w:p w:rsidR="00980C3E" w:rsidRPr="00980C3E" w:rsidRDefault="00980C3E" w:rsidP="00EF7485">
      <w:pPr>
        <w:jc w:val="both"/>
        <w:rPr>
          <w:noProof/>
        </w:rPr>
      </w:pPr>
    </w:p>
    <w:p w:rsidR="00980C3E" w:rsidRPr="00980C3E" w:rsidRDefault="00980C3E" w:rsidP="00EF7485">
      <w:pPr>
        <w:pStyle w:val="ListParagraph"/>
        <w:numPr>
          <w:ilvl w:val="0"/>
          <w:numId w:val="17"/>
        </w:numPr>
        <w:ind w:left="360"/>
        <w:jc w:val="both"/>
        <w:rPr>
          <w:noProof/>
        </w:rPr>
      </w:pPr>
      <w:r>
        <w:t>Establecer procedimientos de limpieza y desinfección diarios para las estaciones de trabajo individuales.</w:t>
      </w:r>
    </w:p>
    <w:p w:rsidR="00980C3E" w:rsidRPr="00980C3E" w:rsidRDefault="00980C3E" w:rsidP="00EF7485">
      <w:pPr>
        <w:pStyle w:val="ListParagraph"/>
        <w:numPr>
          <w:ilvl w:val="0"/>
          <w:numId w:val="17"/>
        </w:numPr>
        <w:ind w:left="360"/>
        <w:jc w:val="both"/>
        <w:rPr>
          <w:noProof/>
        </w:rPr>
      </w:pPr>
      <w:r>
        <w:t xml:space="preserve">Limpiar las superficies del espacio de trabajo al principio y al final de cada turno, lo cual debe incluir escritorios, teclados, asientos y descansabrazos, superficies de escritorio y </w:t>
      </w:r>
      <w:r w:rsidR="00EF64AA">
        <w:t>cualesquiera otras superficies</w:t>
      </w:r>
      <w:r>
        <w:t xml:space="preserve"> que toquen los empleados. </w:t>
      </w:r>
    </w:p>
    <w:p w:rsidR="00980C3E" w:rsidRPr="00980C3E" w:rsidRDefault="00980C3E" w:rsidP="00EF7485">
      <w:pPr>
        <w:pStyle w:val="ListParagraph"/>
        <w:numPr>
          <w:ilvl w:val="0"/>
          <w:numId w:val="17"/>
        </w:numPr>
        <w:ind w:left="360"/>
        <w:jc w:val="both"/>
        <w:rPr>
          <w:noProof/>
        </w:rPr>
      </w:pPr>
      <w:r>
        <w:t>Contactar a proveedores/fabricantes de equipos para que de</w:t>
      </w:r>
      <w:r w:rsidR="0086354D">
        <w:t>n</w:t>
      </w:r>
      <w:r>
        <w:t xml:space="preserve"> recomendaciones sobre la limpieza y la selección de agentes de limpieza adecuados.</w:t>
      </w:r>
    </w:p>
    <w:p w:rsidR="00980C3E" w:rsidRPr="00980C3E" w:rsidRDefault="00980C3E" w:rsidP="00EF7485">
      <w:pPr>
        <w:pStyle w:val="ListParagraph"/>
        <w:numPr>
          <w:ilvl w:val="0"/>
          <w:numId w:val="17"/>
        </w:numPr>
        <w:ind w:left="360"/>
        <w:jc w:val="both"/>
        <w:rPr>
          <w:noProof/>
        </w:rPr>
      </w:pPr>
      <w:r>
        <w:t>Adquirir teclados, ratones y audífonos de repuesto para reemplazarlos en caso de que se contaminen o resulten dañados por los agentes de limpieza.</w:t>
      </w:r>
    </w:p>
    <w:p w:rsidR="00980C3E" w:rsidRPr="00980C3E" w:rsidRDefault="00980C3E" w:rsidP="00EF7485">
      <w:pPr>
        <w:pStyle w:val="ListParagraph"/>
        <w:numPr>
          <w:ilvl w:val="0"/>
          <w:numId w:val="17"/>
        </w:numPr>
        <w:ind w:left="360"/>
        <w:jc w:val="both"/>
        <w:rPr>
          <w:noProof/>
        </w:rPr>
      </w:pPr>
      <w:r>
        <w:t xml:space="preserve">Mantener un suministro adecuado de materiales comerciales de limpieza y otros suministros necesarios como toallas de papel, papel higiénico, productos de higiene personal, material de oficina y jabón </w:t>
      </w:r>
      <w:r w:rsidR="0086354D">
        <w:t>para</w:t>
      </w:r>
      <w:r>
        <w:t xml:space="preserve"> manos.</w:t>
      </w:r>
    </w:p>
    <w:p w:rsidR="00980C3E" w:rsidRPr="00980C3E" w:rsidRDefault="00980C3E" w:rsidP="00EF7485">
      <w:pPr>
        <w:pStyle w:val="ListParagraph"/>
        <w:numPr>
          <w:ilvl w:val="0"/>
          <w:numId w:val="17"/>
        </w:numPr>
        <w:ind w:left="360"/>
        <w:jc w:val="both"/>
        <w:rPr>
          <w:noProof/>
        </w:rPr>
      </w:pPr>
      <w:r>
        <w:t xml:space="preserve">Localizar fuentes alternativas para obtener productos desinfectantes para eliminar el virus. </w:t>
      </w:r>
    </w:p>
    <w:p w:rsidR="00980C3E" w:rsidRPr="00980C3E" w:rsidRDefault="00980C3E" w:rsidP="00EF7485">
      <w:pPr>
        <w:pStyle w:val="ListParagraph"/>
        <w:numPr>
          <w:ilvl w:val="0"/>
          <w:numId w:val="17"/>
        </w:numPr>
        <w:ind w:left="360"/>
        <w:jc w:val="both"/>
        <w:rPr>
          <w:noProof/>
        </w:rPr>
      </w:pPr>
      <w:r>
        <w:t>Evitar el compartir artículos comunes</w:t>
      </w:r>
      <w:r w:rsidR="0086354D">
        <w:t>,</w:t>
      </w:r>
      <w:r>
        <w:t xml:space="preserve"> como productos de papel, bolígrafos, lápices, etc.</w:t>
      </w:r>
    </w:p>
    <w:p w:rsidR="00980C3E" w:rsidRPr="00980C3E" w:rsidRDefault="00980C3E" w:rsidP="00EF7485">
      <w:pPr>
        <w:pStyle w:val="ListParagraph"/>
        <w:numPr>
          <w:ilvl w:val="0"/>
          <w:numId w:val="17"/>
        </w:numPr>
        <w:ind w:left="360"/>
        <w:jc w:val="both"/>
        <w:rPr>
          <w:noProof/>
        </w:rPr>
      </w:pPr>
      <w:r>
        <w:t>Fomentar la limpieza frecuente con desinfectantes de calidad comercial de las zonas comunes, tales como:</w:t>
      </w:r>
    </w:p>
    <w:p w:rsidR="00980C3E" w:rsidRPr="00980C3E" w:rsidRDefault="00980C3E" w:rsidP="00EF7485">
      <w:pPr>
        <w:pStyle w:val="MCPBullet2"/>
        <w:jc w:val="both"/>
        <w:rPr>
          <w:noProof/>
        </w:rPr>
      </w:pPr>
      <w:r>
        <w:t>interruptores de luz, mostradores de cocina, mesas de sala de descanso, baños, archiveros, casilleros y máquinas expendedoras.</w:t>
      </w:r>
    </w:p>
    <w:p w:rsidR="00980C3E" w:rsidRPr="00980C3E" w:rsidRDefault="00980C3E" w:rsidP="00EF7485">
      <w:pPr>
        <w:pStyle w:val="MCPBullet2"/>
        <w:jc w:val="both"/>
        <w:rPr>
          <w:noProof/>
        </w:rPr>
      </w:pPr>
      <w:r>
        <w:t xml:space="preserve">perillas de puertas, manijas y </w:t>
      </w:r>
      <w:proofErr w:type="spellStart"/>
      <w:r>
        <w:t>jaladeras</w:t>
      </w:r>
      <w:proofErr w:type="spellEnd"/>
      <w:r>
        <w:t xml:space="preserve"> empotradas.</w:t>
      </w:r>
    </w:p>
    <w:p w:rsidR="00980C3E" w:rsidRPr="00980C3E" w:rsidRDefault="00980C3E" w:rsidP="00EF7485">
      <w:pPr>
        <w:pStyle w:val="MCPBullet2"/>
        <w:numPr>
          <w:ilvl w:val="0"/>
          <w:numId w:val="2"/>
        </w:numPr>
        <w:jc w:val="both"/>
        <w:rPr>
          <w:noProof/>
        </w:rPr>
      </w:pPr>
      <w:r>
        <w:t>Asegurarse de que los sistemas de ventilación sean parte del proceso de limpieza regular.</w:t>
      </w:r>
    </w:p>
    <w:p w:rsidR="00980C3E" w:rsidRDefault="00980C3E" w:rsidP="00EF7485">
      <w:pPr>
        <w:pStyle w:val="ListParagraph"/>
        <w:numPr>
          <w:ilvl w:val="0"/>
          <w:numId w:val="27"/>
        </w:numPr>
        <w:ind w:left="360"/>
        <w:jc w:val="both"/>
        <w:rPr>
          <w:noProof/>
        </w:rPr>
      </w:pPr>
      <w:r>
        <w:t xml:space="preserve">Seguir todas las instrucciones sobre los agentes de limpieza a fin de evitar la producción innecesaria de sustancias químicas nocivas en espacios cerrados. </w:t>
      </w:r>
    </w:p>
    <w:p w:rsidR="00E71DFF" w:rsidRDefault="00E71DFF" w:rsidP="00E71DFF">
      <w:pPr>
        <w:jc w:val="both"/>
        <w:rPr>
          <w:noProof/>
        </w:rPr>
      </w:pPr>
    </w:p>
    <w:p w:rsidR="00E71DFF" w:rsidRPr="00980C3E" w:rsidRDefault="00E71DFF" w:rsidP="00E71DFF">
      <w:pPr>
        <w:jc w:val="both"/>
        <w:rPr>
          <w:noProof/>
        </w:rPr>
      </w:pPr>
    </w:p>
    <w:p w:rsidR="00980C3E" w:rsidRPr="00980C3E" w:rsidRDefault="00980C3E" w:rsidP="00EF7485">
      <w:pPr>
        <w:ind w:left="540" w:hanging="540"/>
        <w:jc w:val="both"/>
        <w:rPr>
          <w:noProof/>
        </w:rPr>
      </w:pPr>
    </w:p>
    <w:p w:rsidR="00980C3E" w:rsidRPr="00980C3E" w:rsidRDefault="00980C3E" w:rsidP="00EF7485">
      <w:pPr>
        <w:numPr>
          <w:ilvl w:val="0"/>
          <w:numId w:val="28"/>
        </w:numPr>
        <w:jc w:val="both"/>
        <w:rPr>
          <w:b/>
          <w:bCs/>
          <w:noProof/>
        </w:rPr>
      </w:pPr>
      <w:bookmarkStart w:id="4" w:name="_Hlk35873240"/>
      <w:r>
        <w:rPr>
          <w:b/>
        </w:rPr>
        <w:lastRenderedPageBreak/>
        <w:t xml:space="preserve">Equipo de protección personal </w:t>
      </w:r>
      <w:bookmarkEnd w:id="4"/>
    </w:p>
    <w:p w:rsidR="00980C3E" w:rsidRPr="00980C3E" w:rsidRDefault="00980C3E" w:rsidP="00EF7485">
      <w:pPr>
        <w:jc w:val="both"/>
        <w:rPr>
          <w:noProof/>
        </w:rPr>
      </w:pPr>
    </w:p>
    <w:p w:rsidR="00980C3E" w:rsidRPr="00980C3E" w:rsidRDefault="00980C3E" w:rsidP="00EF7485">
      <w:pPr>
        <w:jc w:val="both"/>
        <w:rPr>
          <w:noProof/>
        </w:rPr>
      </w:pPr>
      <w:r>
        <w:t xml:space="preserve">Puede que no sea práctico </w:t>
      </w:r>
      <w:r w:rsidR="008A54DB">
        <w:t>que</w:t>
      </w:r>
      <w:r>
        <w:t xml:space="preserve"> los empleados utilicen equipo de protección personal mientras trabajan en los puntos de respuesta de seguridad pública/centros de comunicaciones de emergencia. La comunicación oral podría no ser clara con una mascarilla y también podría ser difícil utilizar un audífono. Los guantes de látex podrían desgarrarse si se usan por períodos prolongados y es preciso reemplazarlos con frecuencia. Hay escasez de mascarillas y guantes. El personal de los puntos de respuesta de seguridad pública/centros de comunicaciones de emergencia no suele estar entrenado en la selección y el uso adecuado de equipo de protección personal.</w:t>
      </w:r>
    </w:p>
    <w:p w:rsidR="00980C3E" w:rsidRPr="00980C3E" w:rsidRDefault="00980C3E" w:rsidP="00EF7485">
      <w:pPr>
        <w:jc w:val="both"/>
        <w:rPr>
          <w:noProof/>
        </w:rPr>
      </w:pPr>
    </w:p>
    <w:p w:rsidR="00980C3E" w:rsidRPr="00980C3E" w:rsidRDefault="00980C3E" w:rsidP="00EF7485">
      <w:pPr>
        <w:jc w:val="both"/>
        <w:rPr>
          <w:noProof/>
        </w:rPr>
      </w:pPr>
      <w:r>
        <w:t>En las directrices federales se recomienda el uso de mascarillas en lugares públicos, incluso en el lugar de trabajo. Algunas jurisdicciones han ordenado que las personas utilicen mascarillas o que de alguna manera se cubran la boca y la nariz con una tela cuando estén en lugares públicos. La OSHA administra las normas y reglamentos relativos al uso de equipo de protección personal en el lugar de trabajo. Muchos estados también regulan el uso de equipo de protección personal en el lugar de trabajo. Los administradores de los puntos de respuesta de seguridad pública/centros de comunicaciones de emergencia deberían consultar con su</w:t>
      </w:r>
      <w:r w:rsidR="008A54DB">
        <w:t>s</w:t>
      </w:r>
      <w:r>
        <w:t xml:space="preserve"> homólogos locales de recursos humanos y de salud y seguridad </w:t>
      </w:r>
      <w:r w:rsidR="008A54DB">
        <w:t>o</w:t>
      </w:r>
      <w:r>
        <w:t>cupacional cuando consideren la posibilidad de aplicar las políticas relativas al uso de equipos de protección personal y proporcionar capacitación a su</w:t>
      </w:r>
      <w:r w:rsidR="008A54DB">
        <w:t>s</w:t>
      </w:r>
      <w:r>
        <w:t xml:space="preserve"> </w:t>
      </w:r>
      <w:r w:rsidR="008A54DB">
        <w:t>empleados</w:t>
      </w:r>
      <w:r>
        <w:t xml:space="preserve">. Las directrices sobre cómo ponerse y quitarse el equipo de protección personal pueden encontrarse en la página web de los CDC: </w:t>
      </w:r>
      <w:hyperlink r:id="rId24" w:history="1">
        <w:proofErr w:type="spellStart"/>
        <w:r>
          <w:rPr>
            <w:rStyle w:val="Hyperlink"/>
          </w:rPr>
          <w:t>Using</w:t>
        </w:r>
        <w:proofErr w:type="spellEnd"/>
        <w:r>
          <w:rPr>
            <w:rStyle w:val="Hyperlink"/>
          </w:rPr>
          <w:t xml:space="preserve"> Personal </w:t>
        </w:r>
        <w:proofErr w:type="spellStart"/>
        <w:r>
          <w:rPr>
            <w:rStyle w:val="Hyperlink"/>
          </w:rPr>
          <w:t>Protective</w:t>
        </w:r>
        <w:proofErr w:type="spellEnd"/>
        <w:r>
          <w:rPr>
            <w:rStyle w:val="Hyperlink"/>
          </w:rPr>
          <w:t xml:space="preserve"> </w:t>
        </w:r>
        <w:proofErr w:type="spellStart"/>
        <w:r>
          <w:rPr>
            <w:rStyle w:val="Hyperlink"/>
          </w:rPr>
          <w:t>Equipment</w:t>
        </w:r>
        <w:proofErr w:type="spellEnd"/>
        <w:r>
          <w:rPr>
            <w:rStyle w:val="Hyperlink"/>
          </w:rPr>
          <w:t xml:space="preserve"> (PPE</w:t>
        </w:r>
      </w:hyperlink>
      <w:r>
        <w:t>). Se puede obtener información adicional en los siguientes sitios web:</w:t>
      </w:r>
    </w:p>
    <w:p w:rsidR="00980C3E" w:rsidRPr="00980C3E" w:rsidRDefault="00980C3E" w:rsidP="00980C3E">
      <w:pPr>
        <w:rPr>
          <w:noProof/>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980C3E" w:rsidRPr="00980C3E" w:rsidTr="000F403D">
        <w:tc>
          <w:tcPr>
            <w:tcW w:w="2500" w:type="pct"/>
          </w:tcPr>
          <w:p w:rsidR="00980C3E" w:rsidRPr="00980C3E" w:rsidRDefault="00980C3E" w:rsidP="000F403D">
            <w:pPr>
              <w:jc w:val="center"/>
              <w:rPr>
                <w:noProof/>
              </w:rPr>
            </w:pPr>
            <w:r>
              <w:t>CDC</w:t>
            </w:r>
          </w:p>
          <w:p w:rsidR="00980C3E" w:rsidRPr="00980C3E" w:rsidRDefault="00EE6CA5" w:rsidP="000F403D">
            <w:pPr>
              <w:jc w:val="center"/>
              <w:rPr>
                <w:noProof/>
              </w:rPr>
            </w:pPr>
            <w:hyperlink r:id="rId25" w:history="1">
              <w:r w:rsidR="00980C3E">
                <w:rPr>
                  <w:rStyle w:val="Hyperlink"/>
                </w:rPr>
                <w:t>Us</w:t>
              </w:r>
              <w:r w:rsidR="008A54DB">
                <w:rPr>
                  <w:rStyle w:val="Hyperlink"/>
                </w:rPr>
                <w:t>o d</w:t>
              </w:r>
              <w:r w:rsidR="00980C3E">
                <w:rPr>
                  <w:rStyle w:val="Hyperlink"/>
                </w:rPr>
                <w:t xml:space="preserve">e </w:t>
              </w:r>
              <w:r w:rsidR="008A54DB">
                <w:rPr>
                  <w:rStyle w:val="Hyperlink"/>
                </w:rPr>
                <w:t>mascarilla</w:t>
              </w:r>
              <w:r w:rsidR="00980C3E">
                <w:rPr>
                  <w:rStyle w:val="Hyperlink"/>
                </w:rPr>
                <w:t>s</w:t>
              </w:r>
            </w:hyperlink>
          </w:p>
        </w:tc>
        <w:tc>
          <w:tcPr>
            <w:tcW w:w="2500" w:type="pct"/>
          </w:tcPr>
          <w:p w:rsidR="00980C3E" w:rsidRPr="00980C3E" w:rsidRDefault="00980C3E" w:rsidP="000F403D">
            <w:pPr>
              <w:jc w:val="center"/>
              <w:rPr>
                <w:noProof/>
              </w:rPr>
            </w:pPr>
            <w:r>
              <w:t>OSHA</w:t>
            </w:r>
          </w:p>
          <w:p w:rsidR="00980C3E" w:rsidRPr="00980C3E" w:rsidRDefault="00EE6CA5" w:rsidP="000F403D">
            <w:pPr>
              <w:jc w:val="center"/>
              <w:rPr>
                <w:noProof/>
              </w:rPr>
            </w:pPr>
            <w:hyperlink r:id="rId26" w:history="1">
              <w:r w:rsidR="00E93930">
                <w:rPr>
                  <w:rStyle w:val="Hyperlink"/>
                </w:rPr>
                <w:t>Directrices para la protección del sistema respiratorio</w:t>
              </w:r>
            </w:hyperlink>
          </w:p>
          <w:p w:rsidR="00980C3E" w:rsidRPr="00980C3E" w:rsidRDefault="00980C3E" w:rsidP="000F403D">
            <w:pPr>
              <w:jc w:val="center"/>
              <w:rPr>
                <w:noProof/>
              </w:rPr>
            </w:pPr>
          </w:p>
        </w:tc>
      </w:tr>
    </w:tbl>
    <w:p w:rsidR="00980C3E" w:rsidRPr="00980C3E" w:rsidRDefault="00980C3E" w:rsidP="00980C3E">
      <w:pPr>
        <w:rPr>
          <w:noProof/>
        </w:rPr>
      </w:pPr>
    </w:p>
    <w:p w:rsidR="00980C3E" w:rsidRPr="00980C3E" w:rsidRDefault="00980C3E" w:rsidP="00980C3E">
      <w:pPr>
        <w:rPr>
          <w:noProof/>
        </w:rPr>
      </w:pPr>
    </w:p>
    <w:p w:rsidR="00980C3E" w:rsidRPr="00980C3E" w:rsidRDefault="00980C3E" w:rsidP="00980C3E">
      <w:pPr>
        <w:pStyle w:val="Heading1"/>
        <w:rPr>
          <w:noProof/>
        </w:rPr>
      </w:pPr>
      <w:r>
        <w:t>Medidas de respuesta ante una pandemia</w:t>
      </w:r>
    </w:p>
    <w:p w:rsidR="00980C3E" w:rsidRPr="00980C3E" w:rsidRDefault="00980C3E" w:rsidP="00EC6E03">
      <w:pPr>
        <w:ind w:left="360" w:hanging="360"/>
        <w:jc w:val="both"/>
        <w:rPr>
          <w:b/>
          <w:bCs/>
          <w:noProof/>
        </w:rPr>
      </w:pPr>
      <w:r>
        <w:rPr>
          <w:b/>
        </w:rPr>
        <w:t>1.</w:t>
      </w:r>
      <w:r>
        <w:rPr>
          <w:b/>
        </w:rPr>
        <w:tab/>
        <w:t xml:space="preserve">Las medidas que se indican a continuación deben ser consideradas durante el intervalo de aceleración de la pandemia: </w:t>
      </w:r>
    </w:p>
    <w:p w:rsidR="00980C3E" w:rsidRPr="00980C3E" w:rsidRDefault="00980C3E" w:rsidP="00EC6E03">
      <w:pPr>
        <w:jc w:val="both"/>
        <w:rPr>
          <w:noProof/>
        </w:rPr>
      </w:pPr>
    </w:p>
    <w:p w:rsidR="00980C3E" w:rsidRPr="00980C3E" w:rsidRDefault="00980C3E" w:rsidP="00EC6E03">
      <w:pPr>
        <w:pStyle w:val="ListParagraph"/>
        <w:numPr>
          <w:ilvl w:val="0"/>
          <w:numId w:val="18"/>
        </w:numPr>
        <w:jc w:val="both"/>
        <w:rPr>
          <w:noProof/>
        </w:rPr>
      </w:pPr>
      <w:r>
        <w:t>Activación del plan de respuesta para la continuidad de operaciones:</w:t>
      </w:r>
    </w:p>
    <w:p w:rsidR="00980C3E" w:rsidRPr="00980C3E" w:rsidRDefault="00980C3E" w:rsidP="00EC6E03">
      <w:pPr>
        <w:pStyle w:val="MCPBullet2"/>
        <w:jc w:val="both"/>
        <w:rPr>
          <w:noProof/>
        </w:rPr>
      </w:pPr>
      <w:r>
        <w:t>Considerar la posibilidad de cancelar las sesiones de capacitación y viajes no esenciales</w:t>
      </w:r>
    </w:p>
    <w:p w:rsidR="00980C3E" w:rsidRPr="00980C3E" w:rsidRDefault="00980C3E" w:rsidP="00EC6E03">
      <w:pPr>
        <w:pStyle w:val="MCPBullet2"/>
        <w:jc w:val="both"/>
        <w:rPr>
          <w:noProof/>
        </w:rPr>
      </w:pPr>
      <w:r>
        <w:t>Informar al personal sobre los procedimientos contenidos en el plan de respuesta para la continuidad de operaciones</w:t>
      </w:r>
    </w:p>
    <w:p w:rsidR="00980C3E" w:rsidRPr="00980C3E" w:rsidRDefault="00980C3E" w:rsidP="00EC6E03">
      <w:pPr>
        <w:pStyle w:val="MCPBullet2"/>
        <w:jc w:val="both"/>
        <w:rPr>
          <w:noProof/>
        </w:rPr>
      </w:pPr>
      <w:r>
        <w:t>Informar al personal sobre los procedimientos de respuesta ante una pandemia</w:t>
      </w:r>
    </w:p>
    <w:p w:rsidR="00980C3E" w:rsidRPr="00980C3E" w:rsidRDefault="00980C3E" w:rsidP="00EC6E03">
      <w:pPr>
        <w:pStyle w:val="MCPBullet2"/>
        <w:jc w:val="both"/>
        <w:rPr>
          <w:noProof/>
        </w:rPr>
      </w:pPr>
      <w:r>
        <w:t>Implementar, poner a prueba y ajustar los planes conforme cambia la situación</w:t>
      </w:r>
    </w:p>
    <w:p w:rsidR="00980C3E" w:rsidRPr="00980C3E" w:rsidRDefault="00980C3E" w:rsidP="00EC6E03">
      <w:pPr>
        <w:pStyle w:val="MCPBullet2"/>
        <w:jc w:val="both"/>
        <w:rPr>
          <w:noProof/>
        </w:rPr>
      </w:pPr>
      <w:r>
        <w:lastRenderedPageBreak/>
        <w:t>Revisar las órdenes de sucesión y delegación de autoridad semanalmente cuando haya cambios de personal por enfermedad</w:t>
      </w:r>
    </w:p>
    <w:p w:rsidR="00980C3E" w:rsidRPr="00980C3E" w:rsidRDefault="00980C3E" w:rsidP="00EC6E03">
      <w:pPr>
        <w:pStyle w:val="MCPBullet2"/>
        <w:jc w:val="both"/>
        <w:rPr>
          <w:noProof/>
        </w:rPr>
      </w:pPr>
      <w:r>
        <w:t>Informar al personal sobre las políticas de seguridad cibernética</w:t>
      </w:r>
    </w:p>
    <w:p w:rsidR="00980C3E" w:rsidRPr="00980C3E" w:rsidRDefault="00980C3E" w:rsidP="00EC6E03">
      <w:pPr>
        <w:pStyle w:val="MCPBullet2"/>
        <w:jc w:val="both"/>
        <w:rPr>
          <w:noProof/>
        </w:rPr>
      </w:pPr>
      <w:r>
        <w:t>Asegurarse de que todos los empleados tengan las contraseñas correctas para acceder a programas tales como los sistemas integrados de alerta y advertencia pública, servicios de información sobre justicia penal, centros nacionales de información sobre delitos, sistemas de registro y programas de informes de despacho asistido por computadora</w:t>
      </w:r>
    </w:p>
    <w:p w:rsidR="00980C3E" w:rsidRPr="00980C3E" w:rsidRDefault="00980C3E" w:rsidP="00EC6E03">
      <w:pPr>
        <w:jc w:val="both"/>
        <w:rPr>
          <w:noProof/>
        </w:rPr>
      </w:pPr>
    </w:p>
    <w:p w:rsidR="00980C3E" w:rsidRPr="00980C3E" w:rsidRDefault="00980C3E" w:rsidP="00EC6E03">
      <w:pPr>
        <w:pStyle w:val="ListParagraph"/>
        <w:keepNext/>
        <w:numPr>
          <w:ilvl w:val="0"/>
          <w:numId w:val="18"/>
        </w:numPr>
        <w:jc w:val="both"/>
        <w:rPr>
          <w:noProof/>
        </w:rPr>
      </w:pPr>
      <w:r>
        <w:t>Instar a las familias de los empleados a que estén preparad</w:t>
      </w:r>
      <w:r w:rsidR="006E50E2">
        <w:t>a</w:t>
      </w:r>
      <w:r>
        <w:t>s:</w:t>
      </w:r>
    </w:p>
    <w:p w:rsidR="00980C3E" w:rsidRPr="00980C3E" w:rsidRDefault="00980C3E" w:rsidP="00EC6E03">
      <w:pPr>
        <w:pStyle w:val="MCPBullet2"/>
        <w:jc w:val="both"/>
        <w:rPr>
          <w:noProof/>
        </w:rPr>
      </w:pPr>
      <w:r>
        <w:t>Recomenda</w:t>
      </w:r>
      <w:r w:rsidR="00B62C5E">
        <w:t>r</w:t>
      </w:r>
      <w:r>
        <w:t xml:space="preserve"> que cada miembro del personal elabore un plan familiar usando como base las directrices contenidas en el </w:t>
      </w:r>
      <w:hyperlink r:id="rId27" w:history="1">
        <w:proofErr w:type="spellStart"/>
        <w:r>
          <w:rPr>
            <w:rStyle w:val="Hyperlink"/>
          </w:rPr>
          <w:t>Ready</w:t>
        </w:r>
        <w:proofErr w:type="spellEnd"/>
        <w:r>
          <w:rPr>
            <w:rStyle w:val="Hyperlink"/>
          </w:rPr>
          <w:t xml:space="preserve"> Responder </w:t>
        </w:r>
        <w:proofErr w:type="spellStart"/>
        <w:r>
          <w:rPr>
            <w:rStyle w:val="Hyperlink"/>
          </w:rPr>
          <w:t>Toolkit</w:t>
        </w:r>
        <w:proofErr w:type="spellEnd"/>
      </w:hyperlink>
      <w:r>
        <w:t xml:space="preserve"> publicado por FEMA.</w:t>
      </w:r>
    </w:p>
    <w:p w:rsidR="00980C3E" w:rsidRPr="00980C3E" w:rsidRDefault="00980C3E" w:rsidP="00EC6E03">
      <w:pPr>
        <w:jc w:val="both"/>
        <w:rPr>
          <w:noProof/>
        </w:rPr>
      </w:pPr>
    </w:p>
    <w:p w:rsidR="00980C3E" w:rsidRPr="00980C3E" w:rsidRDefault="00980C3E" w:rsidP="00EC6E03">
      <w:pPr>
        <w:pStyle w:val="ListParagraph"/>
        <w:numPr>
          <w:ilvl w:val="0"/>
          <w:numId w:val="18"/>
        </w:numPr>
        <w:jc w:val="both"/>
        <w:rPr>
          <w:noProof/>
        </w:rPr>
      </w:pPr>
      <w:r>
        <w:t>Mantenerse continuamente informado sobre la pandemia de COVID-19:</w:t>
      </w:r>
    </w:p>
    <w:p w:rsidR="00980C3E" w:rsidRPr="00980C3E" w:rsidRDefault="00980C3E" w:rsidP="00EC6E03">
      <w:pPr>
        <w:pStyle w:val="MCPBullet2"/>
        <w:jc w:val="both"/>
        <w:rPr>
          <w:noProof/>
        </w:rPr>
      </w:pPr>
      <w:r>
        <w:t>Mantene</w:t>
      </w:r>
      <w:r w:rsidR="00B62C5E">
        <w:t>r</w:t>
      </w:r>
      <w:r>
        <w:t xml:space="preserve"> contacto regular con los proveedores locales de servicios médicos de emergencia, los oficiales de información pública de la entidad y los funcionarios de salud pública</w:t>
      </w:r>
    </w:p>
    <w:p w:rsidR="00980C3E" w:rsidRPr="00980C3E" w:rsidRDefault="00980C3E" w:rsidP="00EC6E03">
      <w:pPr>
        <w:pStyle w:val="MCPBullet3"/>
        <w:jc w:val="both"/>
        <w:rPr>
          <w:noProof/>
        </w:rPr>
      </w:pPr>
      <w:r>
        <w:t xml:space="preserve">La uniformidad en la comunicación será esencial a la hora de realizar el tamizado de llamadas y </w:t>
      </w:r>
      <w:r w:rsidR="00EF64AA">
        <w:t>el despacho</w:t>
      </w:r>
      <w:r>
        <w:t xml:space="preserve"> de servicios médicos de emergencia a medida que evolucione la situación.</w:t>
      </w:r>
    </w:p>
    <w:p w:rsidR="00980C3E" w:rsidRPr="00980C3E" w:rsidRDefault="00980C3E" w:rsidP="00EC6E03">
      <w:pPr>
        <w:pStyle w:val="MCPBullet2"/>
        <w:jc w:val="both"/>
        <w:rPr>
          <w:noProof/>
        </w:rPr>
      </w:pPr>
      <w:r>
        <w:t>Monitorear los medios de comunicación locales mediante fuentes en línea y medios de difusión.</w:t>
      </w:r>
    </w:p>
    <w:p w:rsidR="00980C3E" w:rsidRPr="00980C3E" w:rsidRDefault="00980C3E" w:rsidP="00EC6E03">
      <w:pPr>
        <w:pStyle w:val="MCPBullet2"/>
        <w:jc w:val="both"/>
        <w:rPr>
          <w:noProof/>
        </w:rPr>
      </w:pPr>
      <w:r>
        <w:t>Monitorear las reuniones informativas locales, estatales y federales.</w:t>
      </w:r>
    </w:p>
    <w:p w:rsidR="00980C3E" w:rsidRPr="00980C3E" w:rsidRDefault="00980C3E" w:rsidP="00EC6E03">
      <w:pPr>
        <w:pStyle w:val="MCPBullet2"/>
        <w:jc w:val="both"/>
        <w:rPr>
          <w:noProof/>
        </w:rPr>
      </w:pPr>
      <w:r>
        <w:t xml:space="preserve">Monitorear el sitio web de los CDC a fin de ubicar los informes actualizados diarios de la situación </w:t>
      </w:r>
      <w:hyperlink r:id="rId28" w:history="1">
        <w:r>
          <w:rPr>
            <w:rStyle w:val="Hyperlink"/>
          </w:rPr>
          <w:t xml:space="preserve">(CDC COVID-19 </w:t>
        </w:r>
        <w:proofErr w:type="spellStart"/>
        <w:r>
          <w:rPr>
            <w:rStyle w:val="Hyperlink"/>
          </w:rPr>
          <w:t>Updates</w:t>
        </w:r>
        <w:proofErr w:type="spellEnd"/>
      </w:hyperlink>
      <w:r>
        <w:t>).</w:t>
      </w:r>
    </w:p>
    <w:p w:rsidR="00980C3E" w:rsidRPr="00980C3E" w:rsidRDefault="00980C3E" w:rsidP="00EC6E03">
      <w:pPr>
        <w:pStyle w:val="MCPBullet2"/>
        <w:jc w:val="both"/>
        <w:rPr>
          <w:noProof/>
        </w:rPr>
      </w:pPr>
      <w:r>
        <w:t>Monitorear y comunicarse con los ciudadanos a través de los medios de comunicación social.</w:t>
      </w:r>
    </w:p>
    <w:p w:rsidR="00980C3E" w:rsidRPr="00980C3E" w:rsidRDefault="00980C3E" w:rsidP="00EC6E03">
      <w:pPr>
        <w:pStyle w:val="MCPBullet2"/>
        <w:jc w:val="both"/>
        <w:rPr>
          <w:noProof/>
        </w:rPr>
      </w:pPr>
      <w:r>
        <w:t>Registrarse con las entidades correspondientes para recibir alertas de actualizaciones jurisdiccionales relacionadas con el incidente.</w:t>
      </w:r>
    </w:p>
    <w:p w:rsidR="00980C3E" w:rsidRPr="00120192" w:rsidRDefault="00980C3E" w:rsidP="00EC6E03">
      <w:pPr>
        <w:pStyle w:val="MCPBullet2"/>
        <w:jc w:val="both"/>
        <w:rPr>
          <w:noProof/>
          <w:lang w:val="en-US"/>
        </w:rPr>
      </w:pPr>
      <w:proofErr w:type="spellStart"/>
      <w:r w:rsidRPr="00120192">
        <w:rPr>
          <w:lang w:val="en-US"/>
        </w:rPr>
        <w:t>Estar</w:t>
      </w:r>
      <w:proofErr w:type="spellEnd"/>
      <w:r w:rsidRPr="00120192">
        <w:rPr>
          <w:lang w:val="en-US"/>
        </w:rPr>
        <w:t xml:space="preserve"> al </w:t>
      </w:r>
      <w:proofErr w:type="spellStart"/>
      <w:r w:rsidRPr="00120192">
        <w:rPr>
          <w:lang w:val="en-US"/>
        </w:rPr>
        <w:t>tanto</w:t>
      </w:r>
      <w:proofErr w:type="spellEnd"/>
      <w:r w:rsidRPr="00120192">
        <w:rPr>
          <w:lang w:val="en-US"/>
        </w:rPr>
        <w:t xml:space="preserve"> de los </w:t>
      </w:r>
      <w:proofErr w:type="spellStart"/>
      <w:r w:rsidRPr="00120192">
        <w:rPr>
          <w:lang w:val="en-US"/>
        </w:rPr>
        <w:t>recursos</w:t>
      </w:r>
      <w:proofErr w:type="spellEnd"/>
      <w:r w:rsidRPr="00120192">
        <w:rPr>
          <w:lang w:val="en-US"/>
        </w:rPr>
        <w:t xml:space="preserve"> </w:t>
      </w:r>
      <w:proofErr w:type="spellStart"/>
      <w:r w:rsidRPr="00120192">
        <w:rPr>
          <w:lang w:val="en-US"/>
        </w:rPr>
        <w:t>disponibles</w:t>
      </w:r>
      <w:proofErr w:type="spellEnd"/>
      <w:r w:rsidRPr="00120192">
        <w:rPr>
          <w:lang w:val="en-US"/>
        </w:rPr>
        <w:t xml:space="preserve">, </w:t>
      </w:r>
      <w:proofErr w:type="spellStart"/>
      <w:r w:rsidRPr="00120192">
        <w:rPr>
          <w:lang w:val="en-US"/>
        </w:rPr>
        <w:t>como</w:t>
      </w:r>
      <w:proofErr w:type="spellEnd"/>
      <w:r w:rsidRPr="00120192">
        <w:rPr>
          <w:lang w:val="en-US"/>
        </w:rPr>
        <w:t xml:space="preserve"> el National 911 Program, National Highway Traffic Safety Administration (NHTSA), National Association of State 911 Administrators (NASNA), National Emergency Number Association (NENA), Association of Public Safety Communications Officials International (APCO) e International Academies of Emergency Dispatch (IAED). </w:t>
      </w:r>
    </w:p>
    <w:p w:rsidR="00980C3E" w:rsidRPr="00120192" w:rsidRDefault="00980C3E" w:rsidP="00EC6E03">
      <w:pPr>
        <w:pStyle w:val="MCPBullet2"/>
        <w:numPr>
          <w:ilvl w:val="0"/>
          <w:numId w:val="0"/>
        </w:numPr>
        <w:jc w:val="both"/>
        <w:rPr>
          <w:noProof/>
          <w:lang w:val="en-US"/>
        </w:rPr>
      </w:pPr>
    </w:p>
    <w:p w:rsidR="00980C3E" w:rsidRPr="00980C3E" w:rsidRDefault="00980C3E" w:rsidP="00EC6E03">
      <w:pPr>
        <w:pStyle w:val="MCPBullet2"/>
        <w:numPr>
          <w:ilvl w:val="0"/>
          <w:numId w:val="18"/>
        </w:numPr>
        <w:jc w:val="both"/>
        <w:rPr>
          <w:noProof/>
        </w:rPr>
      </w:pPr>
      <w:r>
        <w:t>Mantenerse en contacto con los gerentes de los puntos de respuesta de seguridad pública y centros de comunicaciones de emergencia cercanos.</w:t>
      </w:r>
    </w:p>
    <w:p w:rsidR="00980C3E" w:rsidRPr="00980C3E" w:rsidRDefault="00980C3E" w:rsidP="00EC6E03">
      <w:pPr>
        <w:pStyle w:val="MCPBullet2"/>
        <w:numPr>
          <w:ilvl w:val="0"/>
          <w:numId w:val="0"/>
        </w:numPr>
        <w:jc w:val="both"/>
        <w:rPr>
          <w:noProof/>
        </w:rPr>
      </w:pPr>
    </w:p>
    <w:p w:rsidR="00980C3E" w:rsidRPr="00980C3E" w:rsidRDefault="00980C3E" w:rsidP="00EC6E03">
      <w:pPr>
        <w:pStyle w:val="ListParagraph"/>
        <w:numPr>
          <w:ilvl w:val="0"/>
          <w:numId w:val="18"/>
        </w:numPr>
        <w:jc w:val="both"/>
        <w:rPr>
          <w:noProof/>
        </w:rPr>
      </w:pPr>
      <w:r>
        <w:t>Recopilar datos de las llamadas, en la medida de lo posible, e informar de los cambios significativos a las entidades/organismos pertinentes que puedan indicar una aceleración/desaceleración de la pandemia u otros tipos de llamadas imprevistas que puedan requerir una acción (por ejemplo, el aumento de la violencia doméstica o las llamadas de suicidas).</w:t>
      </w:r>
    </w:p>
    <w:p w:rsidR="00980C3E" w:rsidRPr="00980C3E" w:rsidRDefault="00980C3E" w:rsidP="00EC6E03">
      <w:pPr>
        <w:jc w:val="both"/>
        <w:rPr>
          <w:noProof/>
        </w:rPr>
      </w:pPr>
    </w:p>
    <w:p w:rsidR="00980C3E" w:rsidRPr="00980C3E" w:rsidRDefault="00980C3E" w:rsidP="00EC6E03">
      <w:pPr>
        <w:pStyle w:val="ListParagraph"/>
        <w:numPr>
          <w:ilvl w:val="0"/>
          <w:numId w:val="18"/>
        </w:numPr>
        <w:jc w:val="both"/>
        <w:rPr>
          <w:noProof/>
        </w:rPr>
      </w:pPr>
      <w:r>
        <w:lastRenderedPageBreak/>
        <w:t>Mantener el contacto con el centro local de operaciones de emergencia y proporcionar informes de situación, según se solicite o de forma programada.</w:t>
      </w:r>
    </w:p>
    <w:p w:rsidR="00980C3E" w:rsidRPr="00980C3E" w:rsidRDefault="00980C3E" w:rsidP="00EC6E03">
      <w:pPr>
        <w:jc w:val="both"/>
        <w:rPr>
          <w:noProof/>
        </w:rPr>
      </w:pPr>
    </w:p>
    <w:p w:rsidR="00980C3E" w:rsidRPr="00980C3E" w:rsidRDefault="00980C3E" w:rsidP="00EC6E03">
      <w:pPr>
        <w:pStyle w:val="MCPBullet2"/>
        <w:numPr>
          <w:ilvl w:val="0"/>
          <w:numId w:val="18"/>
        </w:numPr>
        <w:jc w:val="both"/>
        <w:rPr>
          <w:noProof/>
        </w:rPr>
      </w:pPr>
      <w:r>
        <w:t>Coordinar los mensajes al público con los oficiales de información pública de la entidad.</w:t>
      </w:r>
    </w:p>
    <w:p w:rsidR="00980C3E" w:rsidRPr="00980C3E" w:rsidRDefault="00980C3E" w:rsidP="00EC6E03">
      <w:pPr>
        <w:jc w:val="both"/>
        <w:rPr>
          <w:noProof/>
        </w:rPr>
      </w:pPr>
    </w:p>
    <w:p w:rsidR="00980C3E" w:rsidRPr="00980C3E" w:rsidRDefault="00980C3E" w:rsidP="00EC6E03">
      <w:pPr>
        <w:pStyle w:val="ListParagraph"/>
        <w:numPr>
          <w:ilvl w:val="0"/>
          <w:numId w:val="18"/>
        </w:numPr>
        <w:jc w:val="both"/>
        <w:rPr>
          <w:noProof/>
        </w:rPr>
      </w:pPr>
      <w:r>
        <w:t>Aplicar medidas de protección de las instalaciones.</w:t>
      </w:r>
    </w:p>
    <w:p w:rsidR="00980C3E" w:rsidRPr="00980C3E" w:rsidRDefault="00980C3E" w:rsidP="00EC6E03">
      <w:pPr>
        <w:pStyle w:val="MCPBullet2"/>
        <w:jc w:val="both"/>
        <w:rPr>
          <w:noProof/>
        </w:rPr>
      </w:pPr>
      <w:r>
        <w:t>Permitir solo el personal esencial en los puntos de respuesta de seguridad pública/centros de comunicaciones de emergencia.</w:t>
      </w:r>
    </w:p>
    <w:p w:rsidR="00980C3E" w:rsidRPr="00980C3E" w:rsidRDefault="00980C3E" w:rsidP="00980C3E">
      <w:pPr>
        <w:pStyle w:val="MCPBullet2"/>
        <w:rPr>
          <w:noProof/>
        </w:rPr>
      </w:pPr>
      <w:r>
        <w:t>Cancelar las actividades de observación previas al empleo.</w:t>
      </w:r>
    </w:p>
    <w:p w:rsidR="00980C3E" w:rsidRPr="00980C3E" w:rsidRDefault="00980C3E" w:rsidP="00EC6E03">
      <w:pPr>
        <w:pStyle w:val="MCPBullet2"/>
        <w:jc w:val="both"/>
        <w:rPr>
          <w:noProof/>
        </w:rPr>
      </w:pPr>
      <w:r>
        <w:t xml:space="preserve">Evitar congregarse a la hora de hacer visitas; utilizar otros medios como las aplicaciones de chat en computadora o teléfono inteligente (por ejemplo, la mensajería instantánea). </w:t>
      </w:r>
    </w:p>
    <w:p w:rsidR="00980C3E" w:rsidRPr="00980C3E" w:rsidRDefault="00980C3E" w:rsidP="00EC6E03">
      <w:pPr>
        <w:pStyle w:val="MCPBullet2"/>
        <w:jc w:val="both"/>
        <w:rPr>
          <w:noProof/>
        </w:rPr>
      </w:pPr>
      <w:r>
        <w:t>Implementar</w:t>
      </w:r>
      <w:r w:rsidR="00B62C5E">
        <w:t>/</w:t>
      </w:r>
      <w:r>
        <w:t xml:space="preserve">usar barreras entre consolas. </w:t>
      </w:r>
    </w:p>
    <w:p w:rsidR="00980C3E" w:rsidRPr="00980C3E" w:rsidRDefault="00980C3E" w:rsidP="00EC6E03">
      <w:pPr>
        <w:jc w:val="both"/>
        <w:rPr>
          <w:noProof/>
        </w:rPr>
      </w:pPr>
    </w:p>
    <w:p w:rsidR="00980C3E" w:rsidRPr="00980C3E" w:rsidRDefault="00980C3E" w:rsidP="00EC6E03">
      <w:pPr>
        <w:pStyle w:val="ListParagraph"/>
        <w:numPr>
          <w:ilvl w:val="0"/>
          <w:numId w:val="18"/>
        </w:numPr>
        <w:jc w:val="both"/>
        <w:rPr>
          <w:noProof/>
        </w:rPr>
      </w:pPr>
      <w:r>
        <w:t>Implementar el uso de mascarillas o cubiertas faciales de tela según lo recomendado por los CDC, y aprobado para su uso por la entidad.</w:t>
      </w:r>
    </w:p>
    <w:p w:rsidR="00980C3E" w:rsidRPr="00980C3E" w:rsidRDefault="00980C3E" w:rsidP="00EC6E03">
      <w:pPr>
        <w:pStyle w:val="MCPBullet2"/>
        <w:jc w:val="both"/>
        <w:rPr>
          <w:noProof/>
        </w:rPr>
      </w:pPr>
      <w:r>
        <w:t>Seguir las recomendaciones de los CDC y las regulaciones de la OSHA en cuanto a la selección y uso de mascarillas en los puntos de respuesta de seguridad pública.</w:t>
      </w:r>
    </w:p>
    <w:p w:rsidR="00980C3E" w:rsidRPr="00980C3E" w:rsidRDefault="00980C3E" w:rsidP="00EC6E03">
      <w:pPr>
        <w:pStyle w:val="MCPBullet2"/>
        <w:jc w:val="both"/>
        <w:rPr>
          <w:noProof/>
        </w:rPr>
      </w:pPr>
      <w:r>
        <w:t>Determinar si una mascarilla impide las comunicaciones de voz.</w:t>
      </w:r>
    </w:p>
    <w:p w:rsidR="00980C3E" w:rsidRPr="00980C3E" w:rsidRDefault="00980C3E" w:rsidP="00EC6E03">
      <w:pPr>
        <w:pStyle w:val="MCPBullet2"/>
        <w:jc w:val="both"/>
        <w:rPr>
          <w:noProof/>
        </w:rPr>
      </w:pPr>
      <w:r>
        <w:t xml:space="preserve">Determinar si una mascarilla puede ser usada correctamente junto con un audífono. </w:t>
      </w:r>
    </w:p>
    <w:p w:rsidR="00980C3E" w:rsidRPr="00980C3E" w:rsidRDefault="00980C3E" w:rsidP="00EC6E03">
      <w:pPr>
        <w:pStyle w:val="MCPBullet2"/>
        <w:jc w:val="both"/>
        <w:rPr>
          <w:noProof/>
        </w:rPr>
      </w:pPr>
      <w:r>
        <w:t>Coordinar la compra de mascarillas con los proveedores locales de servicios médicos.</w:t>
      </w:r>
    </w:p>
    <w:p w:rsidR="00980C3E" w:rsidRPr="00980C3E" w:rsidRDefault="00980C3E" w:rsidP="00EC6E03">
      <w:pPr>
        <w:jc w:val="both"/>
        <w:rPr>
          <w:noProof/>
        </w:rPr>
      </w:pPr>
    </w:p>
    <w:p w:rsidR="00980C3E" w:rsidRPr="00980C3E" w:rsidRDefault="00980C3E" w:rsidP="00EC6E03">
      <w:pPr>
        <w:numPr>
          <w:ilvl w:val="0"/>
          <w:numId w:val="5"/>
        </w:numPr>
        <w:jc w:val="both"/>
        <w:rPr>
          <w:bCs/>
          <w:noProof/>
        </w:rPr>
      </w:pPr>
      <w:r>
        <w:t>Aplicar medidas de distanciamiento social en el interior de los puntos de respuesta de seguridad pública/centros de comunicaciones de emergencia, en la medida de lo posible.</w:t>
      </w:r>
    </w:p>
    <w:p w:rsidR="00980C3E" w:rsidRPr="00980C3E" w:rsidRDefault="00980C3E" w:rsidP="00EC6E03">
      <w:pPr>
        <w:pStyle w:val="MCPBullet2"/>
        <w:jc w:val="both"/>
        <w:rPr>
          <w:noProof/>
        </w:rPr>
      </w:pPr>
      <w:r>
        <w:t>Establecer lugares de trabajo alternativos dentro de las instalaciones principales a fin de separar al personal.</w:t>
      </w:r>
    </w:p>
    <w:p w:rsidR="00980C3E" w:rsidRPr="00980C3E" w:rsidRDefault="00980C3E" w:rsidP="00EC6E03">
      <w:pPr>
        <w:pStyle w:val="MCPBullet2"/>
        <w:jc w:val="both"/>
        <w:rPr>
          <w:noProof/>
        </w:rPr>
      </w:pPr>
      <w:r>
        <w:t>Asegurar el cumplimiento de las normas de seguridad cibernética y de los servicios de información sobre justicia penal al momento de implementar el acceso remoto a la red.</w:t>
      </w:r>
    </w:p>
    <w:p w:rsidR="00980C3E" w:rsidRPr="00980C3E" w:rsidRDefault="00980C3E" w:rsidP="00EC6E03">
      <w:pPr>
        <w:jc w:val="both"/>
        <w:rPr>
          <w:bCs/>
          <w:noProof/>
        </w:rPr>
      </w:pPr>
    </w:p>
    <w:p w:rsidR="00980C3E" w:rsidRPr="00980C3E" w:rsidRDefault="00980C3E" w:rsidP="00EC6E03">
      <w:pPr>
        <w:numPr>
          <w:ilvl w:val="0"/>
          <w:numId w:val="7"/>
        </w:numPr>
        <w:jc w:val="both"/>
        <w:rPr>
          <w:bCs/>
          <w:noProof/>
        </w:rPr>
      </w:pPr>
      <w:r>
        <w:t>Vigilar al personal de los puntos de respuesta de seguridad pública/centros de comunicaciones de emergencia y demás personal esencial a fin de detectar signos y síntomas de la enfermedad.</w:t>
      </w:r>
    </w:p>
    <w:p w:rsidR="00980C3E" w:rsidRPr="00980C3E" w:rsidRDefault="00980C3E" w:rsidP="00EC6E03">
      <w:pPr>
        <w:pStyle w:val="MCPBullet2"/>
        <w:jc w:val="both"/>
        <w:rPr>
          <w:noProof/>
        </w:rPr>
      </w:pPr>
      <w:r>
        <w:t>Tomar y registrar las temperaturas al principio y al final de cada turno.</w:t>
      </w:r>
    </w:p>
    <w:p w:rsidR="00980C3E" w:rsidRPr="00980C3E" w:rsidRDefault="00980C3E" w:rsidP="00EC6E03">
      <w:pPr>
        <w:pStyle w:val="MCPBullet2"/>
        <w:jc w:val="both"/>
        <w:rPr>
          <w:noProof/>
        </w:rPr>
      </w:pPr>
      <w:r>
        <w:t>Entrevistar al personal al momento de entrar a fin de asegurarse de que han observado las recomendaciones de los CDC en cuanto a mantenerse resguardados y el distanciamiento social.</w:t>
      </w:r>
    </w:p>
    <w:p w:rsidR="00980C3E" w:rsidRPr="00980C3E" w:rsidRDefault="00980C3E" w:rsidP="00EC6E03">
      <w:pPr>
        <w:pStyle w:val="MCPBullet2"/>
        <w:jc w:val="both"/>
        <w:rPr>
          <w:noProof/>
        </w:rPr>
      </w:pPr>
      <w:r>
        <w:t>Registrar cualquier informe de síntomas o enfermedades entre los miembros de la familia.</w:t>
      </w:r>
    </w:p>
    <w:p w:rsidR="00980C3E" w:rsidRPr="00980C3E" w:rsidRDefault="00980C3E" w:rsidP="00EC6E03">
      <w:pPr>
        <w:pStyle w:val="MCPBullet2"/>
        <w:jc w:val="both"/>
        <w:rPr>
          <w:noProof/>
        </w:rPr>
      </w:pPr>
      <w:r>
        <w:t>Revisar los requisitos de protección personal con los técnicos de radio, los equipos de servicio de limpieza de edificios y de cualquier técnico que requiera ser llevado a los puntos de respuesta de seguridad pública/centros de comunicaciones de emergencia.</w:t>
      </w:r>
    </w:p>
    <w:p w:rsidR="00980C3E" w:rsidRPr="00980C3E" w:rsidRDefault="00980C3E" w:rsidP="00EC6E03">
      <w:pPr>
        <w:pStyle w:val="MCPBullet2"/>
        <w:numPr>
          <w:ilvl w:val="0"/>
          <w:numId w:val="0"/>
        </w:numPr>
        <w:jc w:val="both"/>
        <w:rPr>
          <w:noProof/>
        </w:rPr>
      </w:pPr>
    </w:p>
    <w:p w:rsidR="00980C3E" w:rsidRPr="00980C3E" w:rsidRDefault="00980C3E" w:rsidP="00EC6E03">
      <w:pPr>
        <w:pStyle w:val="ListParagraph"/>
        <w:numPr>
          <w:ilvl w:val="0"/>
          <w:numId w:val="7"/>
        </w:numPr>
        <w:jc w:val="both"/>
        <w:rPr>
          <w:bCs/>
          <w:noProof/>
        </w:rPr>
      </w:pPr>
      <w:r>
        <w:t xml:space="preserve">Asegurar que se implementen las políticas de capacitación o comunicación pertinentes a fin de que quienes trabajan en el sector de las telecomunicaciones de seguridad pública sepan </w:t>
      </w:r>
      <w:r>
        <w:lastRenderedPageBreak/>
        <w:t xml:space="preserve">dónde buscar ayuda para cualquier situación de estrés mental o emocional adicional que pudieran experimentar en el trabajo o en casa debido a la situación. </w:t>
      </w:r>
    </w:p>
    <w:p w:rsidR="00980C3E" w:rsidRPr="00980C3E" w:rsidRDefault="00980C3E" w:rsidP="00EC6E03">
      <w:pPr>
        <w:jc w:val="both"/>
        <w:rPr>
          <w:bCs/>
          <w:noProof/>
        </w:rPr>
      </w:pPr>
    </w:p>
    <w:p w:rsidR="00980C3E" w:rsidRPr="00980C3E" w:rsidRDefault="00980C3E" w:rsidP="00EC6E03">
      <w:pPr>
        <w:numPr>
          <w:ilvl w:val="0"/>
          <w:numId w:val="7"/>
        </w:numPr>
        <w:jc w:val="both"/>
        <w:rPr>
          <w:bCs/>
          <w:noProof/>
        </w:rPr>
      </w:pPr>
      <w:r>
        <w:t>Ajustarse a los impactos en la plantilla.</w:t>
      </w:r>
    </w:p>
    <w:p w:rsidR="00980C3E" w:rsidRPr="00980C3E" w:rsidRDefault="00980C3E" w:rsidP="00EC6E03">
      <w:pPr>
        <w:pStyle w:val="MCPBullet2"/>
        <w:jc w:val="both"/>
        <w:rPr>
          <w:noProof/>
        </w:rPr>
      </w:pPr>
      <w:r>
        <w:t>Modificar los turnos/horarios para adaptarse a la escasez de personal.</w:t>
      </w:r>
    </w:p>
    <w:p w:rsidR="00980C3E" w:rsidRPr="00980C3E" w:rsidRDefault="00980C3E" w:rsidP="00EC6E03">
      <w:pPr>
        <w:pStyle w:val="MCPBullet2"/>
        <w:jc w:val="both"/>
        <w:rPr>
          <w:noProof/>
        </w:rPr>
      </w:pPr>
      <w:r>
        <w:t>Planificar las pérdidas de personal debido a la exposición/enfermedad.</w:t>
      </w:r>
    </w:p>
    <w:p w:rsidR="00980C3E" w:rsidRPr="00980C3E" w:rsidRDefault="00980C3E" w:rsidP="00EC6E03">
      <w:pPr>
        <w:pStyle w:val="MCPBullet3"/>
        <w:jc w:val="both"/>
        <w:rPr>
          <w:noProof/>
        </w:rPr>
      </w:pPr>
      <w:r>
        <w:t xml:space="preserve">Considerar la posibilidad de que los planes de dotación de personal incluyan a personal jubilado que pueda volver para ayudar a suplir las bajas. </w:t>
      </w:r>
    </w:p>
    <w:p w:rsidR="00980C3E" w:rsidRPr="00980C3E" w:rsidRDefault="00980C3E" w:rsidP="00EC6E03">
      <w:pPr>
        <w:pStyle w:val="ListParagraph"/>
        <w:ind w:left="360"/>
        <w:jc w:val="both"/>
        <w:rPr>
          <w:noProof/>
        </w:rPr>
      </w:pPr>
    </w:p>
    <w:p w:rsidR="00980C3E" w:rsidRPr="00980C3E" w:rsidRDefault="00980C3E" w:rsidP="00EC6E03">
      <w:pPr>
        <w:pStyle w:val="ListParagraph"/>
        <w:numPr>
          <w:ilvl w:val="0"/>
          <w:numId w:val="7"/>
        </w:numPr>
        <w:jc w:val="both"/>
        <w:rPr>
          <w:noProof/>
        </w:rPr>
      </w:pPr>
      <w:r>
        <w:t>Coordinar el seguimiento del tiempo y los gastos del personal con el oficial de finanzas de la jurisdicción para un posible reembolso a través de fondos de asistencia pública para desastres.</w:t>
      </w:r>
    </w:p>
    <w:p w:rsidR="00980C3E" w:rsidRPr="00980C3E" w:rsidRDefault="00980C3E" w:rsidP="00EC6E03">
      <w:pPr>
        <w:jc w:val="both"/>
        <w:rPr>
          <w:bCs/>
          <w:noProof/>
        </w:rPr>
      </w:pPr>
    </w:p>
    <w:p w:rsidR="00980C3E" w:rsidRPr="00980C3E" w:rsidRDefault="00980C3E" w:rsidP="00EC6E03">
      <w:pPr>
        <w:pStyle w:val="ListParagraph"/>
        <w:numPr>
          <w:ilvl w:val="0"/>
          <w:numId w:val="7"/>
        </w:numPr>
        <w:jc w:val="both"/>
        <w:rPr>
          <w:bCs/>
          <w:noProof/>
        </w:rPr>
      </w:pPr>
      <w:r>
        <w:t>Llevar un registro y documentación de los gastos que estén relacionados con la respuesta a la pandemia, lo cual incluye:</w:t>
      </w:r>
    </w:p>
    <w:p w:rsidR="00980C3E" w:rsidRPr="00980C3E" w:rsidRDefault="00980C3E" w:rsidP="00EC6E03">
      <w:pPr>
        <w:pStyle w:val="MCPBullet2"/>
        <w:jc w:val="both"/>
        <w:rPr>
          <w:noProof/>
        </w:rPr>
      </w:pPr>
      <w:r>
        <w:t>tiempo extraordinario</w:t>
      </w:r>
    </w:p>
    <w:p w:rsidR="00980C3E" w:rsidRPr="00980C3E" w:rsidRDefault="00980C3E" w:rsidP="00EC6E03">
      <w:pPr>
        <w:pStyle w:val="MCPBullet2"/>
        <w:jc w:val="both"/>
        <w:rPr>
          <w:noProof/>
        </w:rPr>
      </w:pPr>
      <w:r>
        <w:t>suministros de limpieza</w:t>
      </w:r>
    </w:p>
    <w:p w:rsidR="00980C3E" w:rsidRPr="00980C3E" w:rsidRDefault="00980C3E" w:rsidP="00EC6E03">
      <w:pPr>
        <w:pStyle w:val="MCPBullet2"/>
        <w:jc w:val="both"/>
        <w:rPr>
          <w:noProof/>
        </w:rPr>
      </w:pPr>
      <w:r>
        <w:t>alimentos y bebidas</w:t>
      </w:r>
    </w:p>
    <w:p w:rsidR="00980C3E" w:rsidRPr="00980C3E" w:rsidRDefault="00980C3E" w:rsidP="00EC6E03">
      <w:pPr>
        <w:pStyle w:val="MCPBullet2"/>
        <w:jc w:val="both"/>
        <w:rPr>
          <w:noProof/>
        </w:rPr>
      </w:pPr>
      <w:r>
        <w:t>equipo adicional como refrigeradores, catres, mantas, etc.</w:t>
      </w:r>
    </w:p>
    <w:p w:rsidR="00980C3E" w:rsidRPr="00980C3E" w:rsidRDefault="00980C3E" w:rsidP="00EC6E03">
      <w:pPr>
        <w:pStyle w:val="MCPBullet2"/>
        <w:jc w:val="both"/>
        <w:rPr>
          <w:noProof/>
        </w:rPr>
      </w:pPr>
      <w:r>
        <w:t>servicios de limpieza contratados</w:t>
      </w:r>
    </w:p>
    <w:p w:rsidR="00980C3E" w:rsidRPr="00980C3E" w:rsidRDefault="00980C3E" w:rsidP="00EC6E03">
      <w:pPr>
        <w:pStyle w:val="MCPBullet2"/>
        <w:jc w:val="both"/>
        <w:rPr>
          <w:noProof/>
        </w:rPr>
      </w:pPr>
      <w:r>
        <w:t>otros gastos relacionados con el desastre</w:t>
      </w:r>
    </w:p>
    <w:p w:rsidR="00980C3E" w:rsidRPr="00EC6E03" w:rsidRDefault="00980C3E" w:rsidP="00EC6E03">
      <w:pPr>
        <w:jc w:val="both"/>
        <w:rPr>
          <w:bCs/>
          <w:noProof/>
        </w:rPr>
      </w:pPr>
    </w:p>
    <w:p w:rsidR="00980C3E" w:rsidRPr="00980C3E" w:rsidRDefault="00980C3E" w:rsidP="00EC6E03">
      <w:pPr>
        <w:pStyle w:val="ListParagraph"/>
        <w:numPr>
          <w:ilvl w:val="0"/>
          <w:numId w:val="21"/>
        </w:numPr>
        <w:jc w:val="both"/>
        <w:rPr>
          <w:bCs/>
          <w:noProof/>
        </w:rPr>
      </w:pPr>
      <w:r>
        <w:t>Probar generadores, determinar cargas de baterías y asegurar que se cuentan con múltiples fuentes de suministro de combustible y que se contratan por adelantado, incluso varios proveedores.</w:t>
      </w:r>
    </w:p>
    <w:p w:rsidR="00980C3E" w:rsidRPr="00EC6E03" w:rsidRDefault="00980C3E" w:rsidP="00EC6E03">
      <w:pPr>
        <w:jc w:val="both"/>
        <w:rPr>
          <w:bCs/>
          <w:noProof/>
        </w:rPr>
      </w:pPr>
    </w:p>
    <w:p w:rsidR="00980C3E" w:rsidRPr="00980C3E" w:rsidRDefault="00980C3E" w:rsidP="00EC6E03">
      <w:pPr>
        <w:pStyle w:val="ListParagraph"/>
        <w:numPr>
          <w:ilvl w:val="0"/>
          <w:numId w:val="21"/>
        </w:numPr>
        <w:jc w:val="both"/>
        <w:rPr>
          <w:bCs/>
          <w:noProof/>
        </w:rPr>
      </w:pPr>
      <w:r>
        <w:t>Probar los sistemas y aplicaciones de comunicaciones remotas. Probar las conexiones con los centros de respaldo 911 y centros vecinos 911.</w:t>
      </w:r>
    </w:p>
    <w:p w:rsidR="00980C3E" w:rsidRPr="00EC6E03" w:rsidRDefault="00980C3E" w:rsidP="00EC6E03">
      <w:pPr>
        <w:jc w:val="both"/>
        <w:rPr>
          <w:bCs/>
          <w:noProof/>
        </w:rPr>
      </w:pPr>
    </w:p>
    <w:p w:rsidR="00980C3E" w:rsidRPr="00980C3E" w:rsidRDefault="00980C3E" w:rsidP="00EC6E03">
      <w:pPr>
        <w:pStyle w:val="ListParagraph"/>
        <w:numPr>
          <w:ilvl w:val="0"/>
          <w:numId w:val="21"/>
        </w:numPr>
        <w:jc w:val="both"/>
        <w:rPr>
          <w:bCs/>
          <w:noProof/>
        </w:rPr>
      </w:pPr>
      <w:r>
        <w:t>Establecer/revisar acuerdos o políticas de ayuda mutua con los puntos de respuesta de seguridad pública/centros de comunicaciones de emergencia vecinos para complementar el personal, según sea necesario.</w:t>
      </w:r>
    </w:p>
    <w:p w:rsidR="00980C3E" w:rsidRPr="00EC6E03" w:rsidRDefault="00980C3E" w:rsidP="00EC6E03">
      <w:pPr>
        <w:jc w:val="both"/>
        <w:rPr>
          <w:bCs/>
          <w:noProof/>
        </w:rPr>
      </w:pPr>
    </w:p>
    <w:p w:rsidR="00980C3E" w:rsidRPr="00980C3E" w:rsidRDefault="00980C3E" w:rsidP="00EC6E03">
      <w:pPr>
        <w:pStyle w:val="ListParagraph"/>
        <w:numPr>
          <w:ilvl w:val="0"/>
          <w:numId w:val="21"/>
        </w:numPr>
        <w:jc w:val="both"/>
        <w:rPr>
          <w:bCs/>
          <w:noProof/>
        </w:rPr>
      </w:pPr>
      <w:r>
        <w:t xml:space="preserve">En concierto con los funcionarios electos de salud pública, elaborar y distribuir materiales </w:t>
      </w:r>
      <w:r w:rsidR="00551FFB">
        <w:t>i</w:t>
      </w:r>
      <w:r>
        <w:t>nformativos para la comunidad y reducir de manera proactiva las llamadas que no sean de emergencia.</w:t>
      </w:r>
    </w:p>
    <w:p w:rsidR="00980C3E" w:rsidRPr="00980C3E" w:rsidRDefault="00980C3E" w:rsidP="00EC6E03">
      <w:pPr>
        <w:jc w:val="both"/>
        <w:rPr>
          <w:bCs/>
          <w:noProof/>
        </w:rPr>
      </w:pPr>
    </w:p>
    <w:p w:rsidR="00980C3E" w:rsidRPr="00980C3E" w:rsidRDefault="00980C3E" w:rsidP="00EC6E03">
      <w:pPr>
        <w:pStyle w:val="ListParagraph"/>
        <w:numPr>
          <w:ilvl w:val="0"/>
          <w:numId w:val="21"/>
        </w:numPr>
        <w:jc w:val="both"/>
        <w:rPr>
          <w:bCs/>
          <w:noProof/>
        </w:rPr>
      </w:pPr>
      <w:r>
        <w:t>Preparar anuncios de servicio público sobre cuándo llamar/cuándo no llamar al 911 a fin de identificar las solicitudes de información que pueden ser canalizadas al 211/311/411, al departamento de salud local o al médico de cabecera de la persona que llama.</w:t>
      </w:r>
    </w:p>
    <w:p w:rsidR="00980C3E" w:rsidRPr="00EC6E03" w:rsidRDefault="00980C3E" w:rsidP="00EC6E03">
      <w:pPr>
        <w:jc w:val="both"/>
        <w:rPr>
          <w:bCs/>
          <w:noProof/>
        </w:rPr>
      </w:pPr>
    </w:p>
    <w:p w:rsidR="00980C3E" w:rsidRPr="00980C3E" w:rsidRDefault="00980C3E" w:rsidP="00EC6E03">
      <w:pPr>
        <w:pStyle w:val="ListParagraph"/>
        <w:numPr>
          <w:ilvl w:val="0"/>
          <w:numId w:val="21"/>
        </w:numPr>
        <w:jc w:val="both"/>
        <w:rPr>
          <w:bCs/>
          <w:noProof/>
        </w:rPr>
      </w:pPr>
      <w:r>
        <w:t>Preparar cambios en las preguntas de tamizaje de llamadas con base en las directrices de fuentes oficiales locales (es decir, el departamento de salud local, los CDC) y en concierto con el control/director médico local y con su aprobación.</w:t>
      </w:r>
    </w:p>
    <w:p w:rsidR="00980C3E" w:rsidRPr="00EC6E03" w:rsidRDefault="00980C3E" w:rsidP="00EC6E03">
      <w:pPr>
        <w:jc w:val="both"/>
        <w:rPr>
          <w:bCs/>
          <w:noProof/>
        </w:rPr>
      </w:pPr>
    </w:p>
    <w:p w:rsidR="00980C3E" w:rsidRPr="00980C3E" w:rsidRDefault="00980C3E" w:rsidP="00EC6E03">
      <w:pPr>
        <w:pStyle w:val="ListParagraph"/>
        <w:numPr>
          <w:ilvl w:val="0"/>
          <w:numId w:val="21"/>
        </w:numPr>
        <w:jc w:val="both"/>
        <w:rPr>
          <w:bCs/>
          <w:noProof/>
        </w:rPr>
      </w:pPr>
      <w:r>
        <w:t>Explorar opciones administrativas/técnicas/operativas para desviar las llamadas médicas no urgentes a entidades no tradicionales (por ejemplo, líneas de llamadas de enfermería, tamizaje para telemedicina)</w:t>
      </w:r>
      <w:r w:rsidRPr="00980C3E">
        <w:rPr>
          <w:rStyle w:val="FootnoteReference"/>
          <w:bCs/>
          <w:noProof/>
        </w:rPr>
        <w:footnoteReference w:id="11"/>
      </w:r>
      <w:r>
        <w:t>.</w:t>
      </w:r>
    </w:p>
    <w:p w:rsidR="00980C3E" w:rsidRPr="00EC6E03" w:rsidRDefault="00980C3E" w:rsidP="00EC6E03">
      <w:pPr>
        <w:jc w:val="both"/>
        <w:rPr>
          <w:bCs/>
          <w:noProof/>
        </w:rPr>
      </w:pPr>
    </w:p>
    <w:p w:rsidR="00980C3E" w:rsidRPr="00980C3E" w:rsidRDefault="00980C3E" w:rsidP="00EC6E03">
      <w:pPr>
        <w:pStyle w:val="ListParagraph"/>
        <w:numPr>
          <w:ilvl w:val="0"/>
          <w:numId w:val="21"/>
        </w:numPr>
        <w:jc w:val="both"/>
        <w:rPr>
          <w:bCs/>
          <w:noProof/>
        </w:rPr>
      </w:pPr>
      <w:r>
        <w:t xml:space="preserve">Preparar mensajes para notificar a las personas que llaman sobre cualquier retraso en la respuesta a medida que evoluciona la situación y cambian los recursos de los servicios de emergencia. </w:t>
      </w:r>
    </w:p>
    <w:p w:rsidR="00980C3E" w:rsidRPr="00EC6E03" w:rsidRDefault="00980C3E" w:rsidP="00EC6E03">
      <w:pPr>
        <w:jc w:val="both"/>
        <w:rPr>
          <w:bCs/>
          <w:noProof/>
        </w:rPr>
      </w:pPr>
    </w:p>
    <w:p w:rsidR="00980C3E" w:rsidRPr="00980C3E" w:rsidRDefault="00980C3E" w:rsidP="00EC6E03">
      <w:pPr>
        <w:pStyle w:val="ListParagraph"/>
        <w:numPr>
          <w:ilvl w:val="0"/>
          <w:numId w:val="21"/>
        </w:numPr>
        <w:jc w:val="both"/>
        <w:rPr>
          <w:bCs/>
          <w:noProof/>
        </w:rPr>
      </w:pPr>
      <w:r>
        <w:t>Comprender los requisitos de la tecnología de la información a fin de ajustar el despacho asistido por computadora a los cambios en el software.</w:t>
      </w:r>
    </w:p>
    <w:p w:rsidR="00980C3E" w:rsidRPr="00EC6E03" w:rsidRDefault="00980C3E" w:rsidP="00EC6E03">
      <w:pPr>
        <w:jc w:val="both"/>
        <w:rPr>
          <w:bCs/>
          <w:noProof/>
        </w:rPr>
      </w:pPr>
    </w:p>
    <w:p w:rsidR="00980C3E" w:rsidRPr="00980C3E" w:rsidRDefault="00980C3E" w:rsidP="00EC6E03">
      <w:pPr>
        <w:pStyle w:val="ListParagraph"/>
        <w:numPr>
          <w:ilvl w:val="0"/>
          <w:numId w:val="21"/>
        </w:numPr>
        <w:jc w:val="both"/>
        <w:rPr>
          <w:bCs/>
          <w:noProof/>
        </w:rPr>
      </w:pPr>
      <w:r>
        <w:t xml:space="preserve">Asegurar que la información del personal y los datos de contacto estén actualizados. </w:t>
      </w:r>
    </w:p>
    <w:p w:rsidR="00980C3E" w:rsidRPr="00EC6E03" w:rsidRDefault="00980C3E" w:rsidP="00EC6E03">
      <w:pPr>
        <w:jc w:val="both"/>
        <w:rPr>
          <w:bCs/>
          <w:noProof/>
        </w:rPr>
      </w:pPr>
    </w:p>
    <w:p w:rsidR="00980C3E" w:rsidRPr="00980C3E" w:rsidRDefault="00980C3E" w:rsidP="00EC6E03">
      <w:pPr>
        <w:pStyle w:val="ListParagraph"/>
        <w:numPr>
          <w:ilvl w:val="0"/>
          <w:numId w:val="21"/>
        </w:numPr>
        <w:jc w:val="both"/>
        <w:rPr>
          <w:bCs/>
          <w:noProof/>
        </w:rPr>
      </w:pPr>
      <w:r>
        <w:t>Asegurar que los contratistas y proveedores esenciales hayan adoptado y probado planes de continuidad de sus actividades:</w:t>
      </w:r>
    </w:p>
    <w:p w:rsidR="00980C3E" w:rsidRPr="00980C3E" w:rsidRDefault="00980C3E" w:rsidP="00EC6E03">
      <w:pPr>
        <w:pStyle w:val="MCPBullet2"/>
        <w:jc w:val="both"/>
        <w:rPr>
          <w:noProof/>
        </w:rPr>
      </w:pPr>
      <w:r>
        <w:t>telefonía</w:t>
      </w:r>
    </w:p>
    <w:p w:rsidR="00980C3E" w:rsidRPr="00980C3E" w:rsidRDefault="00980C3E" w:rsidP="00EC6E03">
      <w:pPr>
        <w:pStyle w:val="MCPBullet2"/>
        <w:jc w:val="both"/>
        <w:rPr>
          <w:noProof/>
        </w:rPr>
      </w:pPr>
      <w:r>
        <w:t>equipo de local del cliente/equipo de manejo de llamadas</w:t>
      </w:r>
    </w:p>
    <w:p w:rsidR="00980C3E" w:rsidRPr="00980C3E" w:rsidRDefault="00980C3E" w:rsidP="00EC6E03">
      <w:pPr>
        <w:pStyle w:val="MCPBullet2"/>
        <w:jc w:val="both"/>
        <w:rPr>
          <w:noProof/>
        </w:rPr>
      </w:pPr>
      <w:r>
        <w:t>despacho asistido por computadora</w:t>
      </w:r>
    </w:p>
    <w:p w:rsidR="00980C3E" w:rsidRPr="00980C3E" w:rsidRDefault="00980C3E" w:rsidP="00EC6E03">
      <w:pPr>
        <w:pStyle w:val="MCPBullet2"/>
        <w:jc w:val="both"/>
        <w:rPr>
          <w:noProof/>
        </w:rPr>
      </w:pPr>
      <w:r>
        <w:t>radio</w:t>
      </w:r>
    </w:p>
    <w:p w:rsidR="00980C3E" w:rsidRPr="00980C3E" w:rsidRDefault="00980C3E" w:rsidP="00EC6E03">
      <w:pPr>
        <w:pStyle w:val="MCPBullet2"/>
        <w:jc w:val="both"/>
        <w:rPr>
          <w:noProof/>
        </w:rPr>
      </w:pPr>
      <w:r>
        <w:t>tecnología de la información de la entidad/jurisdicción</w:t>
      </w:r>
    </w:p>
    <w:p w:rsidR="00980C3E" w:rsidRPr="00980C3E" w:rsidRDefault="00980C3E" w:rsidP="00EC6E03">
      <w:pPr>
        <w:pStyle w:val="MCPBullet2"/>
        <w:jc w:val="both"/>
        <w:rPr>
          <w:noProof/>
        </w:rPr>
      </w:pPr>
      <w:r>
        <w:t>suministro de energía ininterrumpido</w:t>
      </w:r>
    </w:p>
    <w:p w:rsidR="00980C3E" w:rsidRPr="00980C3E" w:rsidRDefault="00980C3E" w:rsidP="00EC6E03">
      <w:pPr>
        <w:pStyle w:val="MCPBullet2"/>
        <w:jc w:val="both"/>
        <w:rPr>
          <w:noProof/>
        </w:rPr>
      </w:pPr>
      <w:r>
        <w:t>generador</w:t>
      </w:r>
    </w:p>
    <w:p w:rsidR="00980C3E" w:rsidRPr="00980C3E" w:rsidRDefault="00980C3E" w:rsidP="00EC6E03">
      <w:pPr>
        <w:pStyle w:val="MCPBullet2"/>
        <w:jc w:val="both"/>
        <w:rPr>
          <w:noProof/>
        </w:rPr>
      </w:pPr>
      <w:r>
        <w:t>proveedor(es) de combustible para generador</w:t>
      </w:r>
    </w:p>
    <w:p w:rsidR="00980C3E" w:rsidRPr="00980C3E" w:rsidRDefault="00B90B6E" w:rsidP="00EC6E03">
      <w:pPr>
        <w:pStyle w:val="MCPBullet2"/>
        <w:jc w:val="both"/>
        <w:rPr>
          <w:noProof/>
        </w:rPr>
      </w:pPr>
      <w:r>
        <w:t>m</w:t>
      </w:r>
      <w:r w:rsidR="00980C3E">
        <w:t>antenimiento de edificios</w:t>
      </w:r>
    </w:p>
    <w:p w:rsidR="00980C3E" w:rsidRPr="00980C3E" w:rsidRDefault="00980C3E" w:rsidP="00EC6E03">
      <w:pPr>
        <w:jc w:val="both"/>
        <w:rPr>
          <w:bCs/>
          <w:noProof/>
        </w:rPr>
      </w:pPr>
    </w:p>
    <w:p w:rsidR="00980C3E" w:rsidRPr="00980C3E" w:rsidRDefault="00980C3E" w:rsidP="00EC6E03">
      <w:pPr>
        <w:pStyle w:val="ListParagraph"/>
        <w:numPr>
          <w:ilvl w:val="0"/>
          <w:numId w:val="21"/>
        </w:numPr>
        <w:jc w:val="both"/>
        <w:rPr>
          <w:noProof/>
        </w:rPr>
      </w:pPr>
      <w:r>
        <w:t>Establecer procedimientos diarios de limpieza y desinfección para los puntos de respuesta de seguridad pública/centros de comunicaciones de emergencia.</w:t>
      </w:r>
    </w:p>
    <w:p w:rsidR="00EC6E03" w:rsidRDefault="00EC6E03" w:rsidP="00EC6E03">
      <w:pPr>
        <w:pStyle w:val="MCPBullet2"/>
        <w:jc w:val="both"/>
        <w:rPr>
          <w:noProof/>
        </w:rPr>
      </w:pPr>
      <w:r>
        <w:t>Adquirir agentes de limpieza o materiales desinfectantes que cumplan las recomendaciones de los CDC con respecto a la COVID-19</w:t>
      </w:r>
      <w:r w:rsidRPr="00980C3E">
        <w:rPr>
          <w:bCs/>
          <w:noProof/>
          <w:vertAlign w:val="superscript"/>
        </w:rPr>
        <w:footnoteReference w:id="12"/>
      </w:r>
      <w:r>
        <w:t>.</w:t>
      </w:r>
    </w:p>
    <w:p w:rsidR="00980C3E" w:rsidRPr="00980C3E" w:rsidRDefault="00980C3E" w:rsidP="00EC6E03">
      <w:pPr>
        <w:pStyle w:val="MCPBullet2"/>
        <w:jc w:val="both"/>
        <w:rPr>
          <w:noProof/>
        </w:rPr>
      </w:pPr>
      <w:r>
        <w:t>Adquirir y distribuir desinfectante para manos y paquetes personales de pañuelos desechables a cada empleado y colocar otros en las instalaciones de los puntos de respuesta de seguridad pública/centros de comunicaciones de emergencia</w:t>
      </w:r>
      <w:r w:rsidR="00B90B6E">
        <w:t>.</w:t>
      </w:r>
      <w:r>
        <w:t xml:space="preserve"> </w:t>
      </w:r>
    </w:p>
    <w:p w:rsidR="00980C3E" w:rsidRPr="00980C3E" w:rsidRDefault="00980C3E" w:rsidP="00EC6E03">
      <w:pPr>
        <w:pStyle w:val="MCPBullet2"/>
        <w:jc w:val="both"/>
        <w:rPr>
          <w:noProof/>
        </w:rPr>
      </w:pPr>
      <w:r>
        <w:t>Hacer que los empleados limpien los espacios de trabajo compartidos al principio y al final de cada turno</w:t>
      </w:r>
      <w:r w:rsidR="00B90B6E">
        <w:t>.</w:t>
      </w:r>
    </w:p>
    <w:p w:rsidR="00980C3E" w:rsidRPr="00980C3E" w:rsidRDefault="00980C3E" w:rsidP="00EC6E03">
      <w:pPr>
        <w:pStyle w:val="MCPBullet2"/>
        <w:jc w:val="both"/>
        <w:rPr>
          <w:noProof/>
        </w:rPr>
      </w:pPr>
      <w:r>
        <w:t>Tratar todo el material de los cubos de basura como residuos potencialmente infecciosos.</w:t>
      </w:r>
    </w:p>
    <w:p w:rsidR="00980C3E" w:rsidRPr="00980C3E" w:rsidRDefault="00980C3E" w:rsidP="00EC6E03">
      <w:pPr>
        <w:pStyle w:val="MCPBullet2"/>
        <w:jc w:val="both"/>
        <w:rPr>
          <w:noProof/>
        </w:rPr>
      </w:pPr>
      <w:r>
        <w:t>Almacenar alimentos en el lugar para reducir la dependencia de proveedores externos (por ejemplo, restaurantes)</w:t>
      </w:r>
      <w:r w:rsidR="00B90B6E">
        <w:t>.</w:t>
      </w:r>
      <w:r>
        <w:t xml:space="preserve"> No compartir comida</w:t>
      </w:r>
      <w:r w:rsidR="00B90B6E">
        <w:t>.</w:t>
      </w:r>
      <w:r>
        <w:t xml:space="preserve"> Desinfectar adecuadamente los </w:t>
      </w:r>
      <w:r>
        <w:lastRenderedPageBreak/>
        <w:t>alimentos traídos del exterior</w:t>
      </w:r>
      <w:r w:rsidR="00B90B6E">
        <w:t>.</w:t>
      </w:r>
      <w:r>
        <w:t xml:space="preserve"> Reconsiderar la posibilidad de aceptar alimentos de fuentes externas</w:t>
      </w:r>
      <w:r w:rsidR="00B90B6E">
        <w:t>.</w:t>
      </w:r>
      <w:r>
        <w:t xml:space="preserve"> </w:t>
      </w:r>
    </w:p>
    <w:p w:rsidR="00980C3E" w:rsidRPr="00980C3E" w:rsidRDefault="00980C3E" w:rsidP="00EC6E03">
      <w:pPr>
        <w:pStyle w:val="MCPBullet2"/>
        <w:jc w:val="both"/>
        <w:rPr>
          <w:noProof/>
        </w:rPr>
      </w:pPr>
      <w:r>
        <w:t>Reabastecimiento semanal</w:t>
      </w:r>
    </w:p>
    <w:p w:rsidR="00980C3E" w:rsidRPr="00EC6E03" w:rsidRDefault="00980C3E" w:rsidP="00EC6E03">
      <w:pPr>
        <w:jc w:val="both"/>
        <w:rPr>
          <w:bCs/>
          <w:noProof/>
        </w:rPr>
      </w:pPr>
    </w:p>
    <w:p w:rsidR="00980C3E" w:rsidRPr="00980C3E" w:rsidRDefault="00980C3E" w:rsidP="00EC6E03">
      <w:pPr>
        <w:pStyle w:val="ListParagraph"/>
        <w:numPr>
          <w:ilvl w:val="0"/>
          <w:numId w:val="22"/>
        </w:numPr>
        <w:jc w:val="both"/>
        <w:rPr>
          <w:noProof/>
        </w:rPr>
      </w:pPr>
      <w:r>
        <w:t>Proporcionar al personal tarjetas de identificación de la entidad para tener acceso al edificio y para asegurar el cumplimiento de las restricciones de viaje impuestas al personal no esencial y como medida de verificación, según sea necesario.</w:t>
      </w:r>
    </w:p>
    <w:p w:rsidR="00980C3E" w:rsidRPr="00980C3E" w:rsidRDefault="00980C3E" w:rsidP="00EC6E03">
      <w:pPr>
        <w:jc w:val="both"/>
        <w:rPr>
          <w:noProof/>
        </w:rPr>
      </w:pPr>
    </w:p>
    <w:p w:rsidR="00980C3E" w:rsidRPr="00980C3E" w:rsidRDefault="00980C3E" w:rsidP="00EC6E03">
      <w:pPr>
        <w:pStyle w:val="ListParagraph"/>
        <w:numPr>
          <w:ilvl w:val="0"/>
          <w:numId w:val="22"/>
        </w:numPr>
        <w:jc w:val="both"/>
        <w:rPr>
          <w:noProof/>
        </w:rPr>
      </w:pPr>
      <w:r>
        <w:t>Retrasar las modificaciones rutinarias de las actualizaciones y mejoras del equipo de cómputo y software, con excepción de las mejoras de la seguridad cibernética y la protección contra virus, realizando instalaciones remotas tanto como sea posible.</w:t>
      </w:r>
    </w:p>
    <w:p w:rsidR="00980C3E" w:rsidRPr="00980C3E" w:rsidRDefault="00980C3E" w:rsidP="00EC6E03">
      <w:pPr>
        <w:jc w:val="both"/>
        <w:rPr>
          <w:noProof/>
        </w:rPr>
      </w:pPr>
    </w:p>
    <w:p w:rsidR="00980C3E" w:rsidRPr="00980C3E" w:rsidRDefault="00980C3E" w:rsidP="00EC6E03">
      <w:pPr>
        <w:pStyle w:val="ListParagraph"/>
        <w:numPr>
          <w:ilvl w:val="0"/>
          <w:numId w:val="22"/>
        </w:numPr>
        <w:jc w:val="both"/>
        <w:rPr>
          <w:noProof/>
        </w:rPr>
      </w:pPr>
      <w:r>
        <w:t>Suspender las tareas auxiliares en los puntos de respuesta de seguridad pública/centros de comunicaciones de emergencia a fin de relevar al personal de funciones no esenciales.</w:t>
      </w:r>
    </w:p>
    <w:p w:rsidR="00980C3E" w:rsidRPr="00980C3E" w:rsidRDefault="00980C3E" w:rsidP="00EC6E03">
      <w:pPr>
        <w:jc w:val="both"/>
        <w:rPr>
          <w:noProof/>
        </w:rPr>
      </w:pPr>
    </w:p>
    <w:p w:rsidR="00980C3E" w:rsidRPr="00980C3E" w:rsidRDefault="00980C3E" w:rsidP="00EC6E03">
      <w:pPr>
        <w:pStyle w:val="ListParagraph"/>
        <w:numPr>
          <w:ilvl w:val="0"/>
          <w:numId w:val="22"/>
        </w:numPr>
        <w:jc w:val="both"/>
        <w:rPr>
          <w:noProof/>
        </w:rPr>
      </w:pPr>
      <w:r>
        <w:t xml:space="preserve">Identificar al personal que puede ser reasignado a tareas esenciales (es decir, coordinadores de capacitación, supervisores de turno, garantía de calidad). </w:t>
      </w:r>
    </w:p>
    <w:p w:rsidR="00980C3E" w:rsidRPr="00980C3E" w:rsidRDefault="00980C3E" w:rsidP="00EC6E03">
      <w:pPr>
        <w:jc w:val="both"/>
        <w:rPr>
          <w:noProof/>
        </w:rPr>
      </w:pPr>
    </w:p>
    <w:p w:rsidR="00980C3E" w:rsidRPr="00980C3E" w:rsidRDefault="00980C3E" w:rsidP="00EC6E03">
      <w:pPr>
        <w:pStyle w:val="ListParagraph"/>
        <w:numPr>
          <w:ilvl w:val="0"/>
          <w:numId w:val="22"/>
        </w:numPr>
        <w:jc w:val="both"/>
        <w:rPr>
          <w:noProof/>
        </w:rPr>
      </w:pPr>
      <w:r>
        <w:t>Revisar las políticas de recursos humanos y los contratos de los empleados y realizar los ajustes necesarios con respecto a:</w:t>
      </w:r>
    </w:p>
    <w:p w:rsidR="00980C3E" w:rsidRPr="00980C3E" w:rsidRDefault="00BE3E00" w:rsidP="00EC6E03">
      <w:pPr>
        <w:pStyle w:val="MCPBullet2"/>
        <w:jc w:val="both"/>
        <w:rPr>
          <w:noProof/>
        </w:rPr>
      </w:pPr>
      <w:r>
        <w:t>u</w:t>
      </w:r>
      <w:r w:rsidR="00980C3E">
        <w:t>so de licencia por enfermedad</w:t>
      </w:r>
    </w:p>
    <w:p w:rsidR="00980C3E" w:rsidRPr="00980C3E" w:rsidRDefault="00BE3E00" w:rsidP="00EC6E03">
      <w:pPr>
        <w:pStyle w:val="MCPBullet2"/>
        <w:jc w:val="both"/>
        <w:rPr>
          <w:noProof/>
        </w:rPr>
      </w:pPr>
      <w:r>
        <w:t>v</w:t>
      </w:r>
      <w:r w:rsidR="00980C3E">
        <w:t>acaciones/tiempo personal</w:t>
      </w:r>
    </w:p>
    <w:p w:rsidR="00980C3E" w:rsidRPr="00980C3E" w:rsidRDefault="00BE3E00" w:rsidP="00EC6E03">
      <w:pPr>
        <w:pStyle w:val="MCPBullet2"/>
        <w:jc w:val="both"/>
        <w:rPr>
          <w:noProof/>
        </w:rPr>
      </w:pPr>
      <w:r>
        <w:t>r</w:t>
      </w:r>
      <w:r w:rsidR="00980C3E">
        <w:t>etorno al puesto de trabajo o acuartelamiento</w:t>
      </w:r>
    </w:p>
    <w:p w:rsidR="00980C3E" w:rsidRPr="00980C3E" w:rsidRDefault="00BE3E00" w:rsidP="00EC6E03">
      <w:pPr>
        <w:pStyle w:val="MCPBullet2"/>
        <w:jc w:val="both"/>
        <w:rPr>
          <w:noProof/>
        </w:rPr>
      </w:pPr>
      <w:r>
        <w:t>d</w:t>
      </w:r>
      <w:r w:rsidR="00980C3E">
        <w:t>esignación de empleados esenciales</w:t>
      </w:r>
    </w:p>
    <w:p w:rsidR="00980C3E" w:rsidRPr="00980C3E" w:rsidRDefault="00BE3E00" w:rsidP="00EC6E03">
      <w:pPr>
        <w:pStyle w:val="MCPBullet2"/>
        <w:jc w:val="both"/>
        <w:rPr>
          <w:noProof/>
        </w:rPr>
      </w:pPr>
      <w:r>
        <w:t>c</w:t>
      </w:r>
      <w:r w:rsidR="00980C3E">
        <w:t>onsideración de contratos para el personal temporal</w:t>
      </w:r>
    </w:p>
    <w:p w:rsidR="00980C3E" w:rsidRPr="00980C3E" w:rsidRDefault="00BE3E00" w:rsidP="00EC6E03">
      <w:pPr>
        <w:pStyle w:val="MCPBullet2"/>
        <w:jc w:val="both"/>
        <w:rPr>
          <w:noProof/>
        </w:rPr>
      </w:pPr>
      <w:r>
        <w:t>d</w:t>
      </w:r>
      <w:r w:rsidR="00980C3E">
        <w:t>isposiciones especiales en los contratos de los empleados para casos de situaciones o declaraciones de emergencia</w:t>
      </w:r>
    </w:p>
    <w:p w:rsidR="00980C3E" w:rsidRPr="00980C3E" w:rsidRDefault="00BE3E00" w:rsidP="00EC6E03">
      <w:pPr>
        <w:pStyle w:val="MCPBullet2"/>
        <w:jc w:val="both"/>
        <w:rPr>
          <w:noProof/>
        </w:rPr>
      </w:pPr>
      <w:r>
        <w:t>a</w:t>
      </w:r>
      <w:r w:rsidR="00980C3E">
        <w:t>cuerdos relacionados con empleos secundarios</w:t>
      </w:r>
    </w:p>
    <w:p w:rsidR="00980C3E" w:rsidRPr="00980C3E" w:rsidRDefault="00BE3E00" w:rsidP="00EC6E03">
      <w:pPr>
        <w:pStyle w:val="MCPBullet2"/>
        <w:jc w:val="both"/>
        <w:rPr>
          <w:noProof/>
        </w:rPr>
      </w:pPr>
      <w:r>
        <w:t>p</w:t>
      </w:r>
      <w:r w:rsidR="00980C3E">
        <w:t>osibles repercusiones en caso de que se prohíba al personal tener empleos secundarios</w:t>
      </w:r>
    </w:p>
    <w:p w:rsidR="00980C3E" w:rsidRPr="00980C3E" w:rsidRDefault="00980C3E" w:rsidP="00EC6E03">
      <w:pPr>
        <w:jc w:val="both"/>
        <w:rPr>
          <w:noProof/>
        </w:rPr>
      </w:pPr>
    </w:p>
    <w:p w:rsidR="00980C3E" w:rsidRPr="00980C3E" w:rsidRDefault="00980C3E" w:rsidP="00EC6E03">
      <w:pPr>
        <w:ind w:left="360" w:hanging="360"/>
        <w:jc w:val="both"/>
        <w:rPr>
          <w:b/>
          <w:bCs/>
          <w:noProof/>
        </w:rPr>
      </w:pPr>
      <w:r>
        <w:rPr>
          <w:b/>
        </w:rPr>
        <w:t>2.</w:t>
      </w:r>
      <w:r>
        <w:rPr>
          <w:b/>
        </w:rPr>
        <w:tab/>
        <w:t>Las medidas que se indican a continuación deberían considerarse durante la fase de desaceleración antes del otoño de 2020.</w:t>
      </w:r>
    </w:p>
    <w:p w:rsidR="00980C3E" w:rsidRPr="00980C3E" w:rsidRDefault="00980C3E" w:rsidP="00EC6E03">
      <w:pPr>
        <w:jc w:val="both"/>
        <w:rPr>
          <w:noProof/>
        </w:rPr>
      </w:pPr>
    </w:p>
    <w:p w:rsidR="00980C3E" w:rsidRPr="00980C3E" w:rsidRDefault="00980C3E" w:rsidP="00EC6E03">
      <w:pPr>
        <w:pStyle w:val="ListParagraph"/>
        <w:numPr>
          <w:ilvl w:val="0"/>
          <w:numId w:val="45"/>
        </w:numPr>
        <w:jc w:val="both"/>
        <w:rPr>
          <w:noProof/>
        </w:rPr>
      </w:pPr>
      <w:r>
        <w:t xml:space="preserve">Mantenerse continuamente informado sobre brotes o resurgimientos de la COVID-19. </w:t>
      </w:r>
    </w:p>
    <w:p w:rsidR="00980C3E" w:rsidRPr="00980C3E" w:rsidRDefault="00980C3E" w:rsidP="00EC6E03">
      <w:pPr>
        <w:jc w:val="both"/>
        <w:rPr>
          <w:noProof/>
        </w:rPr>
      </w:pPr>
    </w:p>
    <w:p w:rsidR="00980C3E" w:rsidRPr="00980C3E" w:rsidRDefault="00980C3E" w:rsidP="00EC6E03">
      <w:pPr>
        <w:pStyle w:val="ListParagraph"/>
        <w:numPr>
          <w:ilvl w:val="0"/>
          <w:numId w:val="43"/>
        </w:numPr>
        <w:jc w:val="both"/>
        <w:rPr>
          <w:noProof/>
        </w:rPr>
      </w:pPr>
      <w:r>
        <w:t>Continuar monitoreando al personal a fin de detectar signos de estrés resultantes de la fase de respuesta prolongada.</w:t>
      </w:r>
    </w:p>
    <w:p w:rsidR="00980C3E" w:rsidRPr="00980C3E" w:rsidRDefault="00980C3E" w:rsidP="00EC6E03">
      <w:pPr>
        <w:jc w:val="both"/>
        <w:rPr>
          <w:noProof/>
        </w:rPr>
      </w:pPr>
    </w:p>
    <w:p w:rsidR="00980C3E" w:rsidRPr="00980C3E" w:rsidRDefault="00980C3E" w:rsidP="00EC6E03">
      <w:pPr>
        <w:pStyle w:val="ListParagraph"/>
        <w:numPr>
          <w:ilvl w:val="0"/>
          <w:numId w:val="43"/>
        </w:numPr>
        <w:jc w:val="both"/>
        <w:rPr>
          <w:noProof/>
        </w:rPr>
      </w:pPr>
      <w:r>
        <w:t xml:space="preserve">Anticipar la necesidad de apoyo al personal debido a la exposición prolongada a factores estresantes relacionados con la pandemia e identificar recursos para el mantenimiento de la salud mental y el bienestar. </w:t>
      </w:r>
    </w:p>
    <w:p w:rsidR="00980C3E" w:rsidRPr="00980C3E" w:rsidRDefault="00980C3E" w:rsidP="00EC6E03">
      <w:pPr>
        <w:jc w:val="both"/>
        <w:rPr>
          <w:noProof/>
        </w:rPr>
      </w:pPr>
    </w:p>
    <w:p w:rsidR="00980C3E" w:rsidRPr="00980C3E" w:rsidRDefault="00980C3E" w:rsidP="00EC6E03">
      <w:pPr>
        <w:pStyle w:val="ListParagraph"/>
        <w:numPr>
          <w:ilvl w:val="0"/>
          <w:numId w:val="43"/>
        </w:numPr>
        <w:jc w:val="both"/>
        <w:rPr>
          <w:noProof/>
        </w:rPr>
      </w:pPr>
      <w:r>
        <w:lastRenderedPageBreak/>
        <w:t xml:space="preserve">Modificar los procedimientos de contratación a fin de cubrir lo antes posible los puestos vacantes. Las entidades deberán cerciorarse de evitar cualquier demanda legal por negligencia en los procesos de contratación. </w:t>
      </w:r>
    </w:p>
    <w:p w:rsidR="00980C3E" w:rsidRPr="00980C3E" w:rsidRDefault="00980C3E" w:rsidP="00EC6E03">
      <w:pPr>
        <w:pStyle w:val="MCPBullet2"/>
        <w:jc w:val="both"/>
        <w:rPr>
          <w:noProof/>
        </w:rPr>
      </w:pPr>
      <w:r>
        <w:t>Considerar la posibilidad de realizar entrevistas virtuales a fin de garantizar la seguridad y reducir los riesgos de exposición.</w:t>
      </w:r>
    </w:p>
    <w:p w:rsidR="00980C3E" w:rsidRPr="00980C3E" w:rsidRDefault="00980C3E" w:rsidP="00EC6E03">
      <w:pPr>
        <w:pStyle w:val="MCPBullet2"/>
        <w:numPr>
          <w:ilvl w:val="0"/>
          <w:numId w:val="0"/>
        </w:numPr>
        <w:jc w:val="both"/>
        <w:rPr>
          <w:noProof/>
        </w:rPr>
      </w:pPr>
    </w:p>
    <w:p w:rsidR="00980C3E" w:rsidRPr="00980C3E" w:rsidRDefault="00980C3E" w:rsidP="00EC6E03">
      <w:pPr>
        <w:pStyle w:val="MCPBullet2"/>
        <w:numPr>
          <w:ilvl w:val="0"/>
          <w:numId w:val="43"/>
        </w:numPr>
        <w:jc w:val="both"/>
        <w:rPr>
          <w:noProof/>
        </w:rPr>
      </w:pPr>
      <w:r>
        <w:t xml:space="preserve">Modificar los procedimientos de capacitación a fin de dar celeridad a los programas correspondientes, asegurando al mismo tiempo que se cubran todas las áreas temáticas críticas y las certificaciones necesarias para los empleados recién contratados. Las entidades deberán cerciorarse de evitar cualquier demanda legal por negligencia en los procesos de capacitación. </w:t>
      </w:r>
    </w:p>
    <w:p w:rsidR="00980C3E" w:rsidRPr="00980C3E" w:rsidRDefault="00980C3E" w:rsidP="00EC6E03">
      <w:pPr>
        <w:pStyle w:val="MCPBullet2"/>
        <w:jc w:val="both"/>
        <w:rPr>
          <w:noProof/>
        </w:rPr>
      </w:pPr>
      <w:r>
        <w:t>Modificar la capacitación en las aulas procurando el distanciamiento social, reduciendo así los riesgos de exposición.</w:t>
      </w:r>
    </w:p>
    <w:p w:rsidR="00980C3E" w:rsidRPr="00980C3E" w:rsidRDefault="00980C3E" w:rsidP="00EC6E03">
      <w:pPr>
        <w:jc w:val="both"/>
        <w:rPr>
          <w:noProof/>
        </w:rPr>
      </w:pPr>
    </w:p>
    <w:p w:rsidR="00980C3E" w:rsidRPr="00980C3E" w:rsidRDefault="00980C3E" w:rsidP="00EC6E03">
      <w:pPr>
        <w:pStyle w:val="ListParagraph"/>
        <w:numPr>
          <w:ilvl w:val="0"/>
          <w:numId w:val="46"/>
        </w:numPr>
        <w:jc w:val="both"/>
        <w:rPr>
          <w:noProof/>
        </w:rPr>
      </w:pPr>
      <w:r>
        <w:t xml:space="preserve">Colaborar con las entidades de acreditación, licencia o certificación (estatales o locales) que hayan modificado temporalmente sus normas de certificación para el personal nuevo o para la reactivación del personal jubilado. </w:t>
      </w:r>
    </w:p>
    <w:p w:rsidR="00980C3E" w:rsidRPr="00980C3E" w:rsidRDefault="00980C3E" w:rsidP="00EC6E03">
      <w:pPr>
        <w:jc w:val="both"/>
        <w:rPr>
          <w:noProof/>
        </w:rPr>
      </w:pPr>
    </w:p>
    <w:p w:rsidR="00980C3E" w:rsidRPr="00980C3E" w:rsidRDefault="00980C3E" w:rsidP="00EC6E03">
      <w:pPr>
        <w:pStyle w:val="ListParagraph"/>
        <w:numPr>
          <w:ilvl w:val="0"/>
          <w:numId w:val="43"/>
        </w:numPr>
        <w:jc w:val="both"/>
        <w:rPr>
          <w:noProof/>
        </w:rPr>
      </w:pPr>
      <w:r>
        <w:t>Revisar y actualizar el plan de respuesta para la continuidad de operaciones a fin de incorporar cambios en la metodología de respuesta y nuevos datos y procedimientos derivados de la investigación.</w:t>
      </w:r>
    </w:p>
    <w:p w:rsidR="00980C3E" w:rsidRPr="00980C3E" w:rsidRDefault="00980C3E" w:rsidP="00EC6E03">
      <w:pPr>
        <w:pStyle w:val="ListParagraph"/>
        <w:ind w:left="360"/>
        <w:jc w:val="both"/>
        <w:rPr>
          <w:noProof/>
        </w:rPr>
      </w:pPr>
    </w:p>
    <w:p w:rsidR="00980C3E" w:rsidRPr="00980C3E" w:rsidRDefault="00980C3E" w:rsidP="00EC6E03">
      <w:pPr>
        <w:pStyle w:val="ListParagraph"/>
        <w:numPr>
          <w:ilvl w:val="0"/>
          <w:numId w:val="43"/>
        </w:numPr>
        <w:jc w:val="both"/>
        <w:rPr>
          <w:noProof/>
        </w:rPr>
      </w:pPr>
      <w:r>
        <w:t>Es posible que los puntos de respuesta de seguridad pública/centros de comunicaciones de emergencia ubicados en áreas que experimentan emergencias estacionales</w:t>
      </w:r>
      <w:r w:rsidR="00152715">
        <w:t xml:space="preserve"> (</w:t>
      </w:r>
      <w:r>
        <w:t>huracanes,</w:t>
      </w:r>
      <w:r w:rsidR="00152715">
        <w:t xml:space="preserve"> por ejemplo)</w:t>
      </w:r>
      <w:r>
        <w:t xml:space="preserve"> tengan que prepararse para dar una respuesta simultánea.</w:t>
      </w:r>
    </w:p>
    <w:p w:rsidR="00980C3E" w:rsidRPr="00980C3E" w:rsidRDefault="00980C3E" w:rsidP="00EC6E03">
      <w:pPr>
        <w:jc w:val="both"/>
        <w:rPr>
          <w:noProof/>
        </w:rPr>
      </w:pPr>
    </w:p>
    <w:p w:rsidR="00980C3E" w:rsidRPr="00980C3E" w:rsidRDefault="00980C3E" w:rsidP="00EC6E03">
      <w:pPr>
        <w:pStyle w:val="ListParagraph"/>
        <w:numPr>
          <w:ilvl w:val="0"/>
          <w:numId w:val="43"/>
        </w:numPr>
        <w:jc w:val="both"/>
        <w:rPr>
          <w:noProof/>
        </w:rPr>
      </w:pPr>
      <w:r>
        <w:t>Trabajar conjuntamente con el departamento de salud pública local o estatal en las zonas en que se ha establecido la distribución de intervenciones farmacéuticas a través de un punto cerrado de distribución para el personal de seguridad pública, a fin de garantizar la inclusión del personal de los puntos de respuesta de seguridad pública/centros de comunicaciones de emergencia.</w:t>
      </w:r>
    </w:p>
    <w:p w:rsidR="00980C3E" w:rsidRPr="00980C3E" w:rsidRDefault="00980C3E" w:rsidP="00EC6E03">
      <w:pPr>
        <w:pStyle w:val="MCPBullet2"/>
        <w:jc w:val="both"/>
        <w:rPr>
          <w:noProof/>
        </w:rPr>
      </w:pPr>
      <w:r>
        <w:t xml:space="preserve">Asegurarse de que el personal y sus dependientes tengan la medicación que necesitan para mantener una salud óptima (por ejemplo, medicación de mantenimiento) sin tener que preocuparse de que las farmacias estén cerradas o tengan horarios reducidos. </w:t>
      </w:r>
    </w:p>
    <w:p w:rsidR="00980C3E" w:rsidRPr="00980C3E" w:rsidRDefault="00980C3E" w:rsidP="00EC6E03">
      <w:pPr>
        <w:jc w:val="both"/>
        <w:rPr>
          <w:noProof/>
        </w:rPr>
      </w:pPr>
    </w:p>
    <w:p w:rsidR="00980C3E" w:rsidRPr="00980C3E" w:rsidRDefault="00980C3E" w:rsidP="00EC6E03">
      <w:pPr>
        <w:pStyle w:val="ListParagraph"/>
        <w:numPr>
          <w:ilvl w:val="0"/>
          <w:numId w:val="43"/>
        </w:numPr>
        <w:jc w:val="both"/>
        <w:rPr>
          <w:noProof/>
        </w:rPr>
      </w:pPr>
      <w:r>
        <w:t>Establecer acuerdos con otras entidades, como proveedores de servicios médicos o de atención de la salud, para la compra en común de mascarillas especiales para el personal médico y el correspondiente equipo de protección personal, según sea el caso.</w:t>
      </w:r>
    </w:p>
    <w:p w:rsidR="00980C3E" w:rsidRPr="00980C3E" w:rsidRDefault="00980C3E" w:rsidP="00EC6E03">
      <w:pPr>
        <w:jc w:val="both"/>
        <w:rPr>
          <w:noProof/>
        </w:rPr>
      </w:pPr>
    </w:p>
    <w:p w:rsidR="00980C3E" w:rsidRPr="00980C3E" w:rsidRDefault="00980C3E" w:rsidP="00EC6E03">
      <w:pPr>
        <w:pStyle w:val="ListParagraph"/>
        <w:numPr>
          <w:ilvl w:val="0"/>
          <w:numId w:val="43"/>
        </w:numPr>
        <w:jc w:val="both"/>
        <w:rPr>
          <w:noProof/>
        </w:rPr>
      </w:pPr>
      <w:r>
        <w:t>Elaborar un inventario adecuado de suministros esenciales como jabones antibacterianos, desinfectante de manos, limpiadores desinfectantes, productos de papel y otros suministros de limpieza.</w:t>
      </w:r>
    </w:p>
    <w:p w:rsidR="00980C3E" w:rsidRPr="00980C3E" w:rsidRDefault="00980C3E" w:rsidP="00EC6E03">
      <w:pPr>
        <w:jc w:val="both"/>
        <w:rPr>
          <w:noProof/>
        </w:rPr>
      </w:pPr>
    </w:p>
    <w:p w:rsidR="00980C3E" w:rsidRPr="00980C3E" w:rsidRDefault="00980C3E" w:rsidP="00EC6E03">
      <w:pPr>
        <w:pStyle w:val="ListParagraph"/>
        <w:numPr>
          <w:ilvl w:val="0"/>
          <w:numId w:val="43"/>
        </w:numPr>
        <w:jc w:val="both"/>
        <w:rPr>
          <w:noProof/>
        </w:rPr>
      </w:pPr>
      <w:r>
        <w:lastRenderedPageBreak/>
        <w:t>Brindar capacitación al personal en la selección y uso adecuado de equipos de protección personal conforme a las normas de la OSHA y las directrices de los CDC.</w:t>
      </w:r>
    </w:p>
    <w:p w:rsidR="00980C3E" w:rsidRPr="00980C3E" w:rsidRDefault="00980C3E" w:rsidP="00EC6E03">
      <w:pPr>
        <w:jc w:val="both"/>
        <w:rPr>
          <w:noProof/>
        </w:rPr>
      </w:pPr>
    </w:p>
    <w:p w:rsidR="00980C3E" w:rsidRPr="00980C3E" w:rsidRDefault="00980C3E" w:rsidP="00EC6E03">
      <w:pPr>
        <w:pStyle w:val="ListParagraph"/>
        <w:numPr>
          <w:ilvl w:val="0"/>
          <w:numId w:val="43"/>
        </w:numPr>
        <w:jc w:val="both"/>
        <w:rPr>
          <w:noProof/>
        </w:rPr>
      </w:pPr>
      <w:r>
        <w:t xml:space="preserve">Considerar la posibilidad de redirigir las llamadas (por ejemplo, líneas de información, </w:t>
      </w:r>
      <w:proofErr w:type="spellStart"/>
      <w:r>
        <w:t>triaje</w:t>
      </w:r>
      <w:proofErr w:type="spellEnd"/>
      <w:r>
        <w:t xml:space="preserve">, telemedicina o unidades de respuesta telefónica), dado que se dispone de la tecnología y se pueden establecer relaciones con otras entidades.  Consúltese el documento del Grupo de Trabajo para la Resiliencia de los Equipos de Emergencias Médicas/Atención </w:t>
      </w:r>
      <w:proofErr w:type="spellStart"/>
      <w:r>
        <w:t>Prehospitalaria</w:t>
      </w:r>
      <w:proofErr w:type="spellEnd"/>
      <w:r>
        <w:t xml:space="preserve"> titulado, </w:t>
      </w:r>
      <w:proofErr w:type="spellStart"/>
      <w:r>
        <w:rPr>
          <w:i/>
        </w:rPr>
        <w:t>Redirecting</w:t>
      </w:r>
      <w:proofErr w:type="spellEnd"/>
      <w:r>
        <w:rPr>
          <w:i/>
        </w:rPr>
        <w:t xml:space="preserve"> 911 </w:t>
      </w:r>
      <w:proofErr w:type="spellStart"/>
      <w:r>
        <w:rPr>
          <w:i/>
        </w:rPr>
        <w:t>Calls</w:t>
      </w:r>
      <w:proofErr w:type="spellEnd"/>
      <w:r>
        <w:rPr>
          <w:i/>
        </w:rPr>
        <w:t xml:space="preserve"> </w:t>
      </w:r>
      <w:proofErr w:type="spellStart"/>
      <w:r>
        <w:rPr>
          <w:i/>
        </w:rPr>
        <w:t>for</w:t>
      </w:r>
      <w:proofErr w:type="spellEnd"/>
      <w:r>
        <w:rPr>
          <w:i/>
        </w:rPr>
        <w:t xml:space="preserve"> </w:t>
      </w:r>
      <w:proofErr w:type="spellStart"/>
      <w:r>
        <w:rPr>
          <w:i/>
        </w:rPr>
        <w:t>Information</w:t>
      </w:r>
      <w:proofErr w:type="spellEnd"/>
      <w:r>
        <w:rPr>
          <w:i/>
        </w:rPr>
        <w:t xml:space="preserve"> &amp; </w:t>
      </w:r>
      <w:proofErr w:type="spellStart"/>
      <w:r>
        <w:rPr>
          <w:i/>
        </w:rPr>
        <w:t>Low</w:t>
      </w:r>
      <w:proofErr w:type="spellEnd"/>
      <w:r>
        <w:rPr>
          <w:i/>
        </w:rPr>
        <w:t xml:space="preserve"> </w:t>
      </w:r>
      <w:proofErr w:type="spellStart"/>
      <w:r>
        <w:rPr>
          <w:i/>
        </w:rPr>
        <w:t>Acuity</w:t>
      </w:r>
      <w:proofErr w:type="spellEnd"/>
      <w:r>
        <w:rPr>
          <w:i/>
        </w:rPr>
        <w:t xml:space="preserve"> Medical </w:t>
      </w:r>
      <w:proofErr w:type="spellStart"/>
      <w:r>
        <w:rPr>
          <w:i/>
        </w:rPr>
        <w:t>Complaints</w:t>
      </w:r>
      <w:proofErr w:type="spellEnd"/>
      <w:r w:rsidRPr="00980C3E">
        <w:rPr>
          <w:i/>
          <w:iCs/>
          <w:noProof/>
          <w:vertAlign w:val="superscript"/>
        </w:rPr>
        <w:footnoteReference w:id="13"/>
      </w:r>
      <w:r>
        <w:rPr>
          <w:i/>
          <w:vertAlign w:val="superscript"/>
        </w:rPr>
        <w:t xml:space="preserve"> </w:t>
      </w:r>
      <w:r>
        <w:t>en donde puede encontrar ideas y ejemplos</w:t>
      </w:r>
      <w:r>
        <w:rPr>
          <w:i/>
        </w:rPr>
        <w:t>.</w:t>
      </w:r>
    </w:p>
    <w:p w:rsidR="00980C3E" w:rsidRPr="00980C3E" w:rsidRDefault="00980C3E" w:rsidP="00EC6E03">
      <w:pPr>
        <w:jc w:val="both"/>
        <w:rPr>
          <w:noProof/>
        </w:rPr>
      </w:pPr>
    </w:p>
    <w:p w:rsidR="00980C3E" w:rsidRPr="00980C3E" w:rsidRDefault="00980C3E" w:rsidP="00EC6E03">
      <w:pPr>
        <w:pStyle w:val="ListParagraph"/>
        <w:numPr>
          <w:ilvl w:val="0"/>
          <w:numId w:val="43"/>
        </w:numPr>
        <w:jc w:val="both"/>
        <w:rPr>
          <w:noProof/>
        </w:rPr>
      </w:pPr>
      <w:r>
        <w:t xml:space="preserve">Considerar la posibilidad de procesar llamadas al 911 a distancia, dado que ya se dispone de la tecnología, se han establecido relaciones con las entidades pertinentes y la dotación de personal permite utilizar los recursos disponibles. (Al final del presente documento figura una lista de los recursos disponibles.) </w:t>
      </w:r>
    </w:p>
    <w:p w:rsidR="00980C3E" w:rsidRPr="00980C3E" w:rsidRDefault="00980C3E" w:rsidP="00EC6E03">
      <w:pPr>
        <w:jc w:val="both"/>
        <w:rPr>
          <w:noProof/>
        </w:rPr>
      </w:pPr>
    </w:p>
    <w:p w:rsidR="00980C3E" w:rsidRPr="00980C3E" w:rsidRDefault="00980C3E" w:rsidP="00EC6E03">
      <w:pPr>
        <w:pStyle w:val="ListParagraph"/>
        <w:numPr>
          <w:ilvl w:val="0"/>
          <w:numId w:val="43"/>
        </w:numPr>
        <w:jc w:val="both"/>
        <w:rPr>
          <w:noProof/>
        </w:rPr>
      </w:pPr>
      <w:r>
        <w:t>Considerar el análisis de los datos de llamadas, datos del personal y otr</w:t>
      </w:r>
      <w:r w:rsidR="00152715">
        <w:t>o</w:t>
      </w:r>
      <w:r>
        <w:t xml:space="preserve">s datos que podrían utilizarse para anticipar las necesidades de los puntos de respuesta de seguridad pública/centros de comunicaciones de emergencia, o compartirse con otras entidades de seguridad pública a fin de manejar los cambios en la evolución de la pandemia o las consecuencias imprevistas de las estrategias de control (es decir, violencia </w:t>
      </w:r>
      <w:r w:rsidR="00152715">
        <w:t>doméstica</w:t>
      </w:r>
      <w:r>
        <w:t xml:space="preserve"> o suicidio). </w:t>
      </w:r>
    </w:p>
    <w:p w:rsidR="00980C3E" w:rsidRPr="00980C3E" w:rsidRDefault="00980C3E" w:rsidP="00EC6E03">
      <w:pPr>
        <w:jc w:val="both"/>
        <w:rPr>
          <w:noProof/>
        </w:rPr>
      </w:pPr>
    </w:p>
    <w:p w:rsidR="00980C3E" w:rsidRPr="00980C3E" w:rsidRDefault="00980C3E" w:rsidP="00EC6E03">
      <w:pPr>
        <w:pStyle w:val="ListParagraph"/>
        <w:numPr>
          <w:ilvl w:val="0"/>
          <w:numId w:val="43"/>
        </w:numPr>
        <w:jc w:val="both"/>
        <w:rPr>
          <w:noProof/>
        </w:rPr>
      </w:pPr>
      <w:r>
        <w:t>Planes de pruebas y ejercicios.</w:t>
      </w:r>
    </w:p>
    <w:p w:rsidR="00980C3E" w:rsidRPr="00980C3E" w:rsidRDefault="00980C3E" w:rsidP="00EC6E03">
      <w:pPr>
        <w:jc w:val="both"/>
        <w:rPr>
          <w:noProof/>
        </w:rPr>
      </w:pPr>
    </w:p>
    <w:p w:rsidR="00980C3E" w:rsidRPr="00980C3E" w:rsidRDefault="00980C3E" w:rsidP="00EC6E03">
      <w:pPr>
        <w:jc w:val="both"/>
        <w:rPr>
          <w:noProof/>
        </w:rPr>
      </w:pPr>
    </w:p>
    <w:p w:rsidR="00980C3E" w:rsidRPr="00980C3E" w:rsidRDefault="00980C3E" w:rsidP="00EC6E03">
      <w:pPr>
        <w:pStyle w:val="Heading1"/>
        <w:jc w:val="both"/>
        <w:rPr>
          <w:noProof/>
        </w:rPr>
      </w:pPr>
      <w:r>
        <w:t xml:space="preserve">Órdenes de sucesión y delegación de autoridad </w:t>
      </w:r>
    </w:p>
    <w:p w:rsidR="00980C3E" w:rsidRPr="00980C3E" w:rsidRDefault="00980C3E" w:rsidP="00EC6E03">
      <w:pPr>
        <w:jc w:val="both"/>
        <w:rPr>
          <w:noProof/>
        </w:rPr>
      </w:pPr>
      <w:r>
        <w:t xml:space="preserve">Ciertos puestos son esenciales para el funcionamiento continuo de </w:t>
      </w:r>
      <w:r>
        <w:rPr>
          <w:b/>
          <w:bCs/>
          <w:sz w:val="24"/>
        </w:rPr>
        <w:t>[NOMBRE DE LA ENTIDAD]</w:t>
      </w:r>
      <w:r>
        <w:rPr>
          <w:sz w:val="24"/>
        </w:rPr>
        <w:t xml:space="preserve"> </w:t>
      </w:r>
      <w:r>
        <w:t xml:space="preserve">y deben ser cubiertos independientemente de las circunstancias de emergencia. Las siguientes directrices prevén la sucesión de autoridad en caso de que la persona que ocupa ese puesto no esté disponible o esté incapacitada para desempeñar sus funciones. </w:t>
      </w:r>
    </w:p>
    <w:p w:rsidR="00980C3E" w:rsidRPr="00980C3E" w:rsidRDefault="00980C3E" w:rsidP="00EC6E03">
      <w:pPr>
        <w:jc w:val="both"/>
        <w:rPr>
          <w:noProof/>
        </w:rPr>
      </w:pPr>
    </w:p>
    <w:p w:rsidR="00980C3E" w:rsidRPr="00980C3E" w:rsidRDefault="00980C3E" w:rsidP="00EC6E03">
      <w:pPr>
        <w:jc w:val="both"/>
        <w:rPr>
          <w:noProof/>
        </w:rPr>
      </w:pPr>
      <w:r>
        <w:t xml:space="preserve">Cada puesto clave en </w:t>
      </w:r>
      <w:r>
        <w:rPr>
          <w:b/>
          <w:bCs/>
          <w:sz w:val="24"/>
        </w:rPr>
        <w:t>[NOMBRE DE LA ENTIDAD]</w:t>
      </w:r>
      <w:r>
        <w:rPr>
          <w:sz w:val="24"/>
        </w:rPr>
        <w:t xml:space="preserve"> </w:t>
      </w:r>
      <w:r>
        <w:t xml:space="preserve">es ocupado por una persona a tiempo </w:t>
      </w:r>
      <w:proofErr w:type="gramStart"/>
      <w:r>
        <w:t>completo</w:t>
      </w:r>
      <w:proofErr w:type="gramEnd"/>
      <w:r>
        <w:t>. Es posible que algunos funcionarios no estén disponibles durante la pandemia. Se deben identificar los puestos alternativos que asumirán las funciones de cada puesto clave. Se da por sentado que las potestades conferidas a cada puesto clave se transferirán a las personas asignadas como alternos. Sin embargo, ciertas potestades pueden ser reasignadas a personal alterno.</w:t>
      </w:r>
    </w:p>
    <w:p w:rsidR="00980C3E" w:rsidRPr="00980C3E" w:rsidRDefault="00980C3E" w:rsidP="00EC6E03">
      <w:pPr>
        <w:jc w:val="both"/>
        <w:rPr>
          <w:noProof/>
        </w:rPr>
      </w:pPr>
    </w:p>
    <w:p w:rsidR="00980C3E" w:rsidRPr="00980C3E" w:rsidRDefault="00980C3E" w:rsidP="00EC6E03">
      <w:pPr>
        <w:jc w:val="both"/>
        <w:rPr>
          <w:rFonts w:cs="Times New Roman"/>
          <w:noProof/>
          <w:color w:val="000000"/>
        </w:rPr>
      </w:pPr>
      <w:r>
        <w:lastRenderedPageBreak/>
        <w:t>La definición de las órdenes de sucesión y la delegación de autoridad son fundamentales para asegurar un liderazgo efectivo durante una emergencia. En caso de que un funcionario titular sea incapaz o no esté disponible para cumplir sus obligaciones esenciales, se han identificado sucesores para asegurar que no haya un lapso en la toma de decisiones por falta de liderazgo. Además del titular, deberían</w:t>
      </w:r>
      <w:r>
        <w:rPr>
          <w:color w:val="000000"/>
        </w:rPr>
        <w:t xml:space="preserve"> identificarse dos puestos/individuos alternativos a fin de garantizar una dotación de personal suficiente en cada puesto directivo en los puntos de respuesta de seguridad pública/centros de comunicaciones de emergencia. </w:t>
      </w:r>
    </w:p>
    <w:p w:rsidR="00980C3E" w:rsidRPr="00980C3E" w:rsidRDefault="00980C3E" w:rsidP="00EC6E03">
      <w:pPr>
        <w:jc w:val="both"/>
        <w:rPr>
          <w:noProof/>
        </w:rPr>
      </w:pPr>
    </w:p>
    <w:p w:rsidR="00980C3E" w:rsidRPr="00980C3E" w:rsidRDefault="00980C3E" w:rsidP="00EC6E03">
      <w:pPr>
        <w:jc w:val="both"/>
        <w:rPr>
          <w:rFonts w:cs="Times New Roman"/>
          <w:i/>
          <w:iCs/>
          <w:noProof/>
          <w:color w:val="0070C0"/>
        </w:rPr>
      </w:pPr>
      <w:r>
        <w:rPr>
          <w:b/>
          <w:i/>
          <w:color w:val="0070C0"/>
        </w:rPr>
        <w:t xml:space="preserve">Instrucciones: </w:t>
      </w:r>
      <w:r>
        <w:rPr>
          <w:i/>
          <w:color w:val="0070C0"/>
        </w:rPr>
        <w:t>Utilice los cuadros que figuran a continuación para introducir información sobre los puestos que apoyan las operaciones de los puntos de respuesta de seguridad pública/centros de comunicaciones de emergencia. Proporcione una lista de las principales tareas que realiza cada puesto y las potestades que se les conferirán al ser asignados de manera temporal a un puesto de liderazgo. (Nota: Deben indicarse los títulos de los puestos y no los nombres de los individuos que los ocupan.)</w:t>
      </w:r>
    </w:p>
    <w:p w:rsidR="00980C3E" w:rsidRPr="00980C3E" w:rsidRDefault="00980C3E" w:rsidP="00EC6E03">
      <w:pPr>
        <w:jc w:val="both"/>
        <w:rPr>
          <w:rFonts w:cs="Times New Roman"/>
          <w:i/>
          <w:iCs/>
          <w:noProof/>
          <w:color w:val="0070C0"/>
        </w:rPr>
      </w:pPr>
    </w:p>
    <w:p w:rsidR="00980C3E" w:rsidRPr="00980C3E" w:rsidRDefault="00980C3E" w:rsidP="00980C3E">
      <w:pPr>
        <w:spacing w:line="240" w:lineRule="auto"/>
        <w:rPr>
          <w:rFonts w:cs="Times New Roman"/>
          <w:i/>
          <w:iCs/>
          <w:noProof/>
          <w:color w:val="0070C0"/>
        </w:rPr>
      </w:pPr>
      <w:r>
        <w:br w:type="page"/>
      </w:r>
    </w:p>
    <w:tbl>
      <w:tblPr>
        <w:tblStyle w:val="TableGrid"/>
        <w:tblW w:w="0" w:type="auto"/>
        <w:jc w:val="center"/>
        <w:tblLook w:val="04A0" w:firstRow="1" w:lastRow="0" w:firstColumn="1" w:lastColumn="0" w:noHBand="0" w:noVBand="1"/>
      </w:tblPr>
      <w:tblGrid>
        <w:gridCol w:w="9350"/>
      </w:tblGrid>
      <w:tr w:rsidR="00980C3E" w:rsidRPr="00980C3E" w:rsidTr="000F403D">
        <w:trPr>
          <w:trHeight w:val="288"/>
          <w:jc w:val="center"/>
        </w:trPr>
        <w:tc>
          <w:tcPr>
            <w:tcW w:w="9350" w:type="dxa"/>
            <w:shd w:val="clear" w:color="auto" w:fill="44546A"/>
          </w:tcPr>
          <w:p w:rsidR="00980C3E" w:rsidRPr="00980C3E" w:rsidRDefault="00980C3E" w:rsidP="000F403D">
            <w:pPr>
              <w:jc w:val="center"/>
              <w:rPr>
                <w:b/>
                <w:noProof/>
                <w:color w:val="FFFFFF" w:themeColor="background1"/>
                <w:sz w:val="24"/>
                <w:szCs w:val="24"/>
              </w:rPr>
            </w:pPr>
            <w:r>
              <w:rPr>
                <w:b/>
                <w:color w:val="FFFFFF" w:themeColor="background1"/>
                <w:sz w:val="24"/>
              </w:rPr>
              <w:lastRenderedPageBreak/>
              <w:t>[Título del puesto]</w:t>
            </w:r>
          </w:p>
        </w:tc>
      </w:tr>
      <w:tr w:rsidR="00980C3E" w:rsidRPr="00980C3E" w:rsidTr="000F403D">
        <w:trPr>
          <w:trHeight w:val="288"/>
          <w:jc w:val="center"/>
        </w:trPr>
        <w:tc>
          <w:tcPr>
            <w:tcW w:w="9350" w:type="dxa"/>
          </w:tcPr>
          <w:p w:rsidR="00980C3E" w:rsidRPr="00980C3E" w:rsidRDefault="00980C3E" w:rsidP="000F403D">
            <w:pPr>
              <w:rPr>
                <w:noProof/>
                <w:szCs w:val="22"/>
              </w:rPr>
            </w:pPr>
            <w:r>
              <w:t xml:space="preserve">Alterno 1: </w:t>
            </w:r>
          </w:p>
        </w:tc>
      </w:tr>
      <w:tr w:rsidR="00980C3E" w:rsidRPr="00980C3E" w:rsidTr="000F403D">
        <w:trPr>
          <w:trHeight w:val="288"/>
          <w:jc w:val="center"/>
        </w:trPr>
        <w:tc>
          <w:tcPr>
            <w:tcW w:w="9350" w:type="dxa"/>
          </w:tcPr>
          <w:p w:rsidR="00980C3E" w:rsidRPr="00980C3E" w:rsidRDefault="00980C3E" w:rsidP="000F403D">
            <w:pPr>
              <w:rPr>
                <w:noProof/>
                <w:szCs w:val="22"/>
              </w:rPr>
            </w:pPr>
            <w:r>
              <w:t xml:space="preserve">Alterno 2: </w:t>
            </w:r>
          </w:p>
        </w:tc>
      </w:tr>
      <w:tr w:rsidR="00980C3E" w:rsidRPr="00980C3E" w:rsidTr="000F403D">
        <w:trPr>
          <w:trHeight w:val="288"/>
          <w:jc w:val="center"/>
        </w:trPr>
        <w:tc>
          <w:tcPr>
            <w:tcW w:w="9350" w:type="dxa"/>
          </w:tcPr>
          <w:p w:rsidR="00980C3E" w:rsidRPr="00980C3E" w:rsidRDefault="00980C3E" w:rsidP="000F403D">
            <w:pPr>
              <w:rPr>
                <w:noProof/>
                <w:szCs w:val="22"/>
              </w:rPr>
            </w:pPr>
            <w:r>
              <w:t>Tareas esenciales a realizar:</w:t>
            </w:r>
          </w:p>
          <w:p w:rsidR="00980C3E" w:rsidRPr="00980C3E" w:rsidRDefault="00980C3E" w:rsidP="000F403D">
            <w:pPr>
              <w:rPr>
                <w:noProof/>
                <w:szCs w:val="22"/>
              </w:rPr>
            </w:pPr>
            <w:r>
              <w:t>1.</w:t>
            </w:r>
          </w:p>
          <w:p w:rsidR="00980C3E" w:rsidRPr="00980C3E" w:rsidRDefault="00980C3E" w:rsidP="000F403D">
            <w:pPr>
              <w:rPr>
                <w:noProof/>
                <w:szCs w:val="22"/>
              </w:rPr>
            </w:pPr>
            <w:r>
              <w:t>2.</w:t>
            </w:r>
          </w:p>
          <w:p w:rsidR="00980C3E" w:rsidRPr="00980C3E" w:rsidRDefault="00980C3E" w:rsidP="000F403D">
            <w:pPr>
              <w:rPr>
                <w:noProof/>
                <w:szCs w:val="22"/>
              </w:rPr>
            </w:pPr>
            <w:r>
              <w:t>3.</w:t>
            </w:r>
          </w:p>
          <w:p w:rsidR="00980C3E" w:rsidRPr="00980C3E" w:rsidRDefault="00980C3E" w:rsidP="000F403D">
            <w:pPr>
              <w:rPr>
                <w:noProof/>
                <w:szCs w:val="22"/>
              </w:rPr>
            </w:pPr>
          </w:p>
        </w:tc>
      </w:tr>
      <w:tr w:rsidR="00980C3E" w:rsidRPr="00980C3E" w:rsidTr="000F403D">
        <w:trPr>
          <w:trHeight w:val="288"/>
          <w:jc w:val="center"/>
        </w:trPr>
        <w:tc>
          <w:tcPr>
            <w:tcW w:w="9350" w:type="dxa"/>
          </w:tcPr>
          <w:p w:rsidR="00980C3E" w:rsidRPr="00980C3E" w:rsidRDefault="00980C3E" w:rsidP="000F403D">
            <w:pPr>
              <w:rPr>
                <w:noProof/>
                <w:szCs w:val="22"/>
              </w:rPr>
            </w:pPr>
            <w:r>
              <w:t>Potestades que se le delegará:</w:t>
            </w:r>
          </w:p>
          <w:p w:rsidR="00980C3E" w:rsidRPr="00980C3E" w:rsidRDefault="00980C3E" w:rsidP="000F403D">
            <w:pPr>
              <w:rPr>
                <w:noProof/>
                <w:szCs w:val="22"/>
              </w:rPr>
            </w:pPr>
            <w:r>
              <w:t>1.</w:t>
            </w:r>
          </w:p>
          <w:p w:rsidR="00980C3E" w:rsidRPr="00980C3E" w:rsidRDefault="00980C3E" w:rsidP="000F403D">
            <w:pPr>
              <w:rPr>
                <w:noProof/>
                <w:szCs w:val="22"/>
              </w:rPr>
            </w:pPr>
            <w:r>
              <w:t>2.</w:t>
            </w:r>
          </w:p>
          <w:p w:rsidR="00980C3E" w:rsidRPr="00980C3E" w:rsidRDefault="00980C3E" w:rsidP="000F403D">
            <w:pPr>
              <w:rPr>
                <w:noProof/>
                <w:szCs w:val="22"/>
              </w:rPr>
            </w:pPr>
            <w:r>
              <w:t>3.</w:t>
            </w:r>
          </w:p>
          <w:p w:rsidR="00980C3E" w:rsidRPr="00980C3E" w:rsidRDefault="00980C3E" w:rsidP="000F403D">
            <w:pPr>
              <w:rPr>
                <w:noProof/>
                <w:szCs w:val="22"/>
              </w:rPr>
            </w:pPr>
          </w:p>
        </w:tc>
      </w:tr>
    </w:tbl>
    <w:p w:rsidR="00980C3E" w:rsidRPr="00980C3E" w:rsidRDefault="00980C3E" w:rsidP="00980C3E">
      <w:pPr>
        <w:rPr>
          <w:noProof/>
        </w:rPr>
      </w:pPr>
    </w:p>
    <w:tbl>
      <w:tblPr>
        <w:tblStyle w:val="TableGrid"/>
        <w:tblW w:w="0" w:type="auto"/>
        <w:jc w:val="center"/>
        <w:tblLook w:val="04A0" w:firstRow="1" w:lastRow="0" w:firstColumn="1" w:lastColumn="0" w:noHBand="0" w:noVBand="1"/>
      </w:tblPr>
      <w:tblGrid>
        <w:gridCol w:w="9576"/>
      </w:tblGrid>
      <w:tr w:rsidR="00980C3E" w:rsidRPr="00980C3E" w:rsidTr="000F403D">
        <w:trPr>
          <w:jc w:val="center"/>
        </w:trPr>
        <w:tc>
          <w:tcPr>
            <w:tcW w:w="12420" w:type="dxa"/>
            <w:shd w:val="clear" w:color="auto" w:fill="44546A"/>
          </w:tcPr>
          <w:p w:rsidR="00980C3E" w:rsidRPr="00980C3E" w:rsidRDefault="00980C3E" w:rsidP="000F403D">
            <w:pPr>
              <w:keepNext/>
              <w:keepLines/>
              <w:jc w:val="center"/>
              <w:rPr>
                <w:b/>
                <w:noProof/>
                <w:color w:val="FFFFFF" w:themeColor="background1"/>
              </w:rPr>
            </w:pPr>
            <w:r>
              <w:rPr>
                <w:b/>
                <w:color w:val="FFFFFF" w:themeColor="background1"/>
              </w:rPr>
              <w:t>[Título del puesto]</w:t>
            </w:r>
          </w:p>
        </w:tc>
      </w:tr>
      <w:tr w:rsidR="00980C3E" w:rsidRPr="00980C3E" w:rsidTr="000F403D">
        <w:trPr>
          <w:jc w:val="center"/>
        </w:trPr>
        <w:tc>
          <w:tcPr>
            <w:tcW w:w="12420" w:type="dxa"/>
          </w:tcPr>
          <w:p w:rsidR="00980C3E" w:rsidRPr="00980C3E" w:rsidRDefault="00980C3E" w:rsidP="000F403D">
            <w:pPr>
              <w:keepNext/>
              <w:keepLines/>
              <w:rPr>
                <w:noProof/>
              </w:rPr>
            </w:pPr>
            <w:r>
              <w:t xml:space="preserve">Alterno 1: </w:t>
            </w:r>
          </w:p>
        </w:tc>
      </w:tr>
      <w:tr w:rsidR="00980C3E" w:rsidRPr="00980C3E" w:rsidTr="000F403D">
        <w:trPr>
          <w:jc w:val="center"/>
        </w:trPr>
        <w:tc>
          <w:tcPr>
            <w:tcW w:w="12420" w:type="dxa"/>
          </w:tcPr>
          <w:p w:rsidR="00980C3E" w:rsidRPr="00980C3E" w:rsidRDefault="00980C3E" w:rsidP="000F403D">
            <w:pPr>
              <w:rPr>
                <w:noProof/>
              </w:rPr>
            </w:pPr>
            <w:r>
              <w:t xml:space="preserve">Alterno 2: </w:t>
            </w:r>
          </w:p>
        </w:tc>
      </w:tr>
      <w:tr w:rsidR="00980C3E" w:rsidRPr="00980C3E" w:rsidTr="000F403D">
        <w:trPr>
          <w:jc w:val="center"/>
        </w:trPr>
        <w:tc>
          <w:tcPr>
            <w:tcW w:w="12420" w:type="dxa"/>
          </w:tcPr>
          <w:p w:rsidR="00980C3E" w:rsidRPr="00980C3E" w:rsidRDefault="00980C3E" w:rsidP="000F403D">
            <w:pPr>
              <w:rPr>
                <w:noProof/>
              </w:rPr>
            </w:pPr>
            <w:r>
              <w:t>Tareas esenciales a realizar:</w:t>
            </w:r>
          </w:p>
          <w:p w:rsidR="00980C3E" w:rsidRPr="00980C3E" w:rsidRDefault="00980C3E" w:rsidP="000F403D">
            <w:pPr>
              <w:rPr>
                <w:noProof/>
              </w:rPr>
            </w:pPr>
            <w:r>
              <w:t>1.</w:t>
            </w:r>
          </w:p>
          <w:p w:rsidR="00980C3E" w:rsidRPr="00980C3E" w:rsidRDefault="00980C3E" w:rsidP="000F403D">
            <w:pPr>
              <w:rPr>
                <w:noProof/>
              </w:rPr>
            </w:pPr>
            <w:r>
              <w:t>2.</w:t>
            </w:r>
          </w:p>
          <w:p w:rsidR="00980C3E" w:rsidRPr="00980C3E" w:rsidRDefault="00980C3E" w:rsidP="000F403D">
            <w:pPr>
              <w:rPr>
                <w:noProof/>
              </w:rPr>
            </w:pPr>
            <w:r>
              <w:t>3.</w:t>
            </w:r>
          </w:p>
          <w:p w:rsidR="00980C3E" w:rsidRPr="00980C3E" w:rsidRDefault="00980C3E" w:rsidP="000F403D">
            <w:pPr>
              <w:rPr>
                <w:noProof/>
              </w:rPr>
            </w:pPr>
          </w:p>
        </w:tc>
      </w:tr>
      <w:tr w:rsidR="00980C3E" w:rsidRPr="00980C3E" w:rsidTr="000F403D">
        <w:trPr>
          <w:jc w:val="center"/>
        </w:trPr>
        <w:tc>
          <w:tcPr>
            <w:tcW w:w="12420" w:type="dxa"/>
          </w:tcPr>
          <w:p w:rsidR="00980C3E" w:rsidRPr="00980C3E" w:rsidRDefault="00980C3E" w:rsidP="000F403D">
            <w:pPr>
              <w:rPr>
                <w:noProof/>
              </w:rPr>
            </w:pPr>
            <w:r>
              <w:t>Potestades que se le delegará:</w:t>
            </w:r>
          </w:p>
          <w:p w:rsidR="00980C3E" w:rsidRPr="00980C3E" w:rsidRDefault="00980C3E" w:rsidP="000F403D">
            <w:pPr>
              <w:rPr>
                <w:noProof/>
              </w:rPr>
            </w:pPr>
            <w:r>
              <w:t>1.</w:t>
            </w:r>
          </w:p>
          <w:p w:rsidR="00980C3E" w:rsidRPr="00980C3E" w:rsidRDefault="00980C3E" w:rsidP="000F403D">
            <w:pPr>
              <w:rPr>
                <w:noProof/>
              </w:rPr>
            </w:pPr>
            <w:r>
              <w:t>2.</w:t>
            </w:r>
          </w:p>
          <w:p w:rsidR="00980C3E" w:rsidRPr="00980C3E" w:rsidRDefault="00980C3E" w:rsidP="000F403D">
            <w:pPr>
              <w:rPr>
                <w:noProof/>
              </w:rPr>
            </w:pPr>
            <w:r>
              <w:t>3.</w:t>
            </w:r>
          </w:p>
          <w:p w:rsidR="00980C3E" w:rsidRPr="00980C3E" w:rsidRDefault="00980C3E" w:rsidP="000F403D">
            <w:pPr>
              <w:rPr>
                <w:noProof/>
              </w:rPr>
            </w:pPr>
          </w:p>
        </w:tc>
      </w:tr>
    </w:tbl>
    <w:p w:rsidR="00980C3E" w:rsidRPr="00980C3E" w:rsidRDefault="00980C3E" w:rsidP="00980C3E">
      <w:pPr>
        <w:rPr>
          <w:noProof/>
        </w:rPr>
      </w:pPr>
    </w:p>
    <w:tbl>
      <w:tblPr>
        <w:tblStyle w:val="TableGrid"/>
        <w:tblW w:w="0" w:type="auto"/>
        <w:jc w:val="center"/>
        <w:tblLook w:val="04A0" w:firstRow="1" w:lastRow="0" w:firstColumn="1" w:lastColumn="0" w:noHBand="0" w:noVBand="1"/>
      </w:tblPr>
      <w:tblGrid>
        <w:gridCol w:w="9576"/>
      </w:tblGrid>
      <w:tr w:rsidR="00980C3E" w:rsidRPr="00980C3E" w:rsidTr="000F403D">
        <w:trPr>
          <w:jc w:val="center"/>
        </w:trPr>
        <w:tc>
          <w:tcPr>
            <w:tcW w:w="12420" w:type="dxa"/>
            <w:shd w:val="clear" w:color="auto" w:fill="44546A"/>
          </w:tcPr>
          <w:p w:rsidR="00980C3E" w:rsidRPr="00980C3E" w:rsidRDefault="00980C3E" w:rsidP="000F403D">
            <w:pPr>
              <w:jc w:val="center"/>
              <w:rPr>
                <w:b/>
                <w:noProof/>
                <w:color w:val="FFFFFF" w:themeColor="background1"/>
              </w:rPr>
            </w:pPr>
            <w:r>
              <w:rPr>
                <w:b/>
                <w:color w:val="FFFFFF" w:themeColor="background1"/>
              </w:rPr>
              <w:t>[Título del puesto]</w:t>
            </w:r>
          </w:p>
        </w:tc>
      </w:tr>
      <w:tr w:rsidR="00980C3E" w:rsidRPr="00980C3E" w:rsidTr="000F403D">
        <w:trPr>
          <w:jc w:val="center"/>
        </w:trPr>
        <w:tc>
          <w:tcPr>
            <w:tcW w:w="12420" w:type="dxa"/>
          </w:tcPr>
          <w:p w:rsidR="00980C3E" w:rsidRPr="00980C3E" w:rsidRDefault="00980C3E" w:rsidP="000F403D">
            <w:pPr>
              <w:rPr>
                <w:noProof/>
              </w:rPr>
            </w:pPr>
            <w:r>
              <w:t xml:space="preserve">Alterno 1: </w:t>
            </w:r>
          </w:p>
        </w:tc>
      </w:tr>
      <w:tr w:rsidR="00980C3E" w:rsidRPr="00980C3E" w:rsidTr="000F403D">
        <w:trPr>
          <w:jc w:val="center"/>
        </w:trPr>
        <w:tc>
          <w:tcPr>
            <w:tcW w:w="12420" w:type="dxa"/>
          </w:tcPr>
          <w:p w:rsidR="00980C3E" w:rsidRPr="00980C3E" w:rsidRDefault="00980C3E" w:rsidP="000F403D">
            <w:pPr>
              <w:rPr>
                <w:noProof/>
              </w:rPr>
            </w:pPr>
            <w:r>
              <w:t xml:space="preserve">Alterno 2: </w:t>
            </w:r>
          </w:p>
        </w:tc>
      </w:tr>
      <w:tr w:rsidR="00980C3E" w:rsidRPr="00980C3E" w:rsidTr="000F403D">
        <w:trPr>
          <w:jc w:val="center"/>
        </w:trPr>
        <w:tc>
          <w:tcPr>
            <w:tcW w:w="12420" w:type="dxa"/>
          </w:tcPr>
          <w:p w:rsidR="00980C3E" w:rsidRPr="00980C3E" w:rsidRDefault="00980C3E" w:rsidP="000F403D">
            <w:pPr>
              <w:rPr>
                <w:noProof/>
              </w:rPr>
            </w:pPr>
            <w:r>
              <w:t>Tareas esenciales a realizar:</w:t>
            </w:r>
          </w:p>
          <w:p w:rsidR="00980C3E" w:rsidRPr="00980C3E" w:rsidRDefault="00980C3E" w:rsidP="000F403D">
            <w:pPr>
              <w:rPr>
                <w:noProof/>
              </w:rPr>
            </w:pPr>
            <w:r>
              <w:t>1.</w:t>
            </w:r>
          </w:p>
          <w:p w:rsidR="00980C3E" w:rsidRPr="00980C3E" w:rsidRDefault="00980C3E" w:rsidP="000F403D">
            <w:pPr>
              <w:rPr>
                <w:noProof/>
              </w:rPr>
            </w:pPr>
            <w:r>
              <w:t>2.</w:t>
            </w:r>
          </w:p>
          <w:p w:rsidR="00980C3E" w:rsidRPr="00980C3E" w:rsidRDefault="00980C3E" w:rsidP="000F403D">
            <w:pPr>
              <w:rPr>
                <w:noProof/>
              </w:rPr>
            </w:pPr>
            <w:r>
              <w:t>3.</w:t>
            </w:r>
          </w:p>
          <w:p w:rsidR="00980C3E" w:rsidRPr="00980C3E" w:rsidRDefault="00980C3E" w:rsidP="000F403D">
            <w:pPr>
              <w:rPr>
                <w:noProof/>
              </w:rPr>
            </w:pPr>
          </w:p>
        </w:tc>
      </w:tr>
      <w:tr w:rsidR="00980C3E" w:rsidRPr="00980C3E" w:rsidTr="000F403D">
        <w:trPr>
          <w:jc w:val="center"/>
        </w:trPr>
        <w:tc>
          <w:tcPr>
            <w:tcW w:w="12420" w:type="dxa"/>
          </w:tcPr>
          <w:p w:rsidR="00980C3E" w:rsidRPr="00980C3E" w:rsidRDefault="00980C3E" w:rsidP="000F403D">
            <w:pPr>
              <w:rPr>
                <w:noProof/>
              </w:rPr>
            </w:pPr>
            <w:r>
              <w:t>Potestades que se le delegará:</w:t>
            </w:r>
          </w:p>
          <w:p w:rsidR="00980C3E" w:rsidRPr="00980C3E" w:rsidRDefault="00980C3E" w:rsidP="000F403D">
            <w:pPr>
              <w:rPr>
                <w:noProof/>
              </w:rPr>
            </w:pPr>
            <w:r>
              <w:t>1.</w:t>
            </w:r>
          </w:p>
          <w:p w:rsidR="00980C3E" w:rsidRPr="00980C3E" w:rsidRDefault="00980C3E" w:rsidP="000F403D">
            <w:pPr>
              <w:rPr>
                <w:noProof/>
              </w:rPr>
            </w:pPr>
            <w:r>
              <w:t>2.</w:t>
            </w:r>
          </w:p>
          <w:p w:rsidR="00980C3E" w:rsidRPr="00980C3E" w:rsidRDefault="00980C3E" w:rsidP="000F403D">
            <w:pPr>
              <w:rPr>
                <w:noProof/>
              </w:rPr>
            </w:pPr>
            <w:r>
              <w:t>3.</w:t>
            </w:r>
          </w:p>
          <w:p w:rsidR="00980C3E" w:rsidRPr="00980C3E" w:rsidRDefault="00980C3E" w:rsidP="000F403D">
            <w:pPr>
              <w:rPr>
                <w:noProof/>
              </w:rPr>
            </w:pPr>
          </w:p>
        </w:tc>
      </w:tr>
    </w:tbl>
    <w:p w:rsidR="00980C3E" w:rsidRPr="00980C3E" w:rsidRDefault="00980C3E" w:rsidP="00980C3E">
      <w:pPr>
        <w:rPr>
          <w:noProof/>
        </w:rPr>
      </w:pPr>
    </w:p>
    <w:tbl>
      <w:tblPr>
        <w:tblStyle w:val="TableGrid"/>
        <w:tblW w:w="0" w:type="auto"/>
        <w:jc w:val="center"/>
        <w:tblLook w:val="04A0" w:firstRow="1" w:lastRow="0" w:firstColumn="1" w:lastColumn="0" w:noHBand="0" w:noVBand="1"/>
      </w:tblPr>
      <w:tblGrid>
        <w:gridCol w:w="9350"/>
      </w:tblGrid>
      <w:tr w:rsidR="00980C3E" w:rsidRPr="00980C3E" w:rsidTr="000F403D">
        <w:trPr>
          <w:jc w:val="center"/>
        </w:trPr>
        <w:tc>
          <w:tcPr>
            <w:tcW w:w="9350" w:type="dxa"/>
            <w:shd w:val="clear" w:color="auto" w:fill="44546A"/>
          </w:tcPr>
          <w:p w:rsidR="00980C3E" w:rsidRPr="00980C3E" w:rsidRDefault="00980C3E" w:rsidP="000F403D">
            <w:pPr>
              <w:keepNext/>
              <w:keepLines/>
              <w:jc w:val="center"/>
              <w:rPr>
                <w:b/>
                <w:noProof/>
                <w:color w:val="FFFFFF" w:themeColor="background1"/>
              </w:rPr>
            </w:pPr>
            <w:r>
              <w:rPr>
                <w:b/>
                <w:color w:val="FFFFFF" w:themeColor="background1"/>
              </w:rPr>
              <w:lastRenderedPageBreak/>
              <w:t>[Título del puesto]</w:t>
            </w:r>
          </w:p>
        </w:tc>
      </w:tr>
      <w:tr w:rsidR="00980C3E" w:rsidRPr="00980C3E" w:rsidTr="000F403D">
        <w:trPr>
          <w:jc w:val="center"/>
        </w:trPr>
        <w:tc>
          <w:tcPr>
            <w:tcW w:w="9350" w:type="dxa"/>
          </w:tcPr>
          <w:p w:rsidR="00980C3E" w:rsidRPr="00980C3E" w:rsidRDefault="00980C3E" w:rsidP="000F403D">
            <w:pPr>
              <w:keepNext/>
              <w:keepLines/>
              <w:rPr>
                <w:noProof/>
              </w:rPr>
            </w:pPr>
            <w:r>
              <w:t xml:space="preserve">Alterno 1: </w:t>
            </w:r>
          </w:p>
        </w:tc>
      </w:tr>
      <w:tr w:rsidR="00980C3E" w:rsidRPr="00980C3E" w:rsidTr="000F403D">
        <w:trPr>
          <w:jc w:val="center"/>
        </w:trPr>
        <w:tc>
          <w:tcPr>
            <w:tcW w:w="9350" w:type="dxa"/>
          </w:tcPr>
          <w:p w:rsidR="00980C3E" w:rsidRPr="00980C3E" w:rsidRDefault="00980C3E" w:rsidP="000F403D">
            <w:pPr>
              <w:keepNext/>
              <w:keepLines/>
              <w:rPr>
                <w:noProof/>
              </w:rPr>
            </w:pPr>
            <w:r>
              <w:t xml:space="preserve">Alterno 2: </w:t>
            </w:r>
          </w:p>
        </w:tc>
      </w:tr>
      <w:tr w:rsidR="00980C3E" w:rsidRPr="00980C3E" w:rsidTr="000F403D">
        <w:trPr>
          <w:jc w:val="center"/>
        </w:trPr>
        <w:tc>
          <w:tcPr>
            <w:tcW w:w="9350" w:type="dxa"/>
          </w:tcPr>
          <w:p w:rsidR="00980C3E" w:rsidRPr="00980C3E" w:rsidRDefault="00980C3E" w:rsidP="000F403D">
            <w:pPr>
              <w:rPr>
                <w:noProof/>
              </w:rPr>
            </w:pPr>
            <w:r>
              <w:t>Tareas esenciales a realizar:</w:t>
            </w:r>
          </w:p>
          <w:p w:rsidR="00980C3E" w:rsidRPr="00980C3E" w:rsidRDefault="00980C3E" w:rsidP="000F403D">
            <w:pPr>
              <w:rPr>
                <w:noProof/>
              </w:rPr>
            </w:pPr>
            <w:r>
              <w:t>1.</w:t>
            </w:r>
          </w:p>
          <w:p w:rsidR="00980C3E" w:rsidRPr="00980C3E" w:rsidRDefault="00980C3E" w:rsidP="000F403D">
            <w:pPr>
              <w:rPr>
                <w:noProof/>
              </w:rPr>
            </w:pPr>
            <w:r>
              <w:t>2.</w:t>
            </w:r>
          </w:p>
          <w:p w:rsidR="00980C3E" w:rsidRPr="00980C3E" w:rsidRDefault="00980C3E" w:rsidP="000F403D">
            <w:pPr>
              <w:rPr>
                <w:noProof/>
              </w:rPr>
            </w:pPr>
            <w:r>
              <w:t>3.</w:t>
            </w:r>
          </w:p>
          <w:p w:rsidR="00980C3E" w:rsidRPr="00980C3E" w:rsidRDefault="00980C3E" w:rsidP="000F403D">
            <w:pPr>
              <w:rPr>
                <w:noProof/>
              </w:rPr>
            </w:pPr>
          </w:p>
        </w:tc>
      </w:tr>
      <w:tr w:rsidR="00980C3E" w:rsidRPr="00980C3E" w:rsidTr="000F403D">
        <w:trPr>
          <w:jc w:val="center"/>
        </w:trPr>
        <w:tc>
          <w:tcPr>
            <w:tcW w:w="9350" w:type="dxa"/>
          </w:tcPr>
          <w:p w:rsidR="00980C3E" w:rsidRPr="00980C3E" w:rsidRDefault="00980C3E" w:rsidP="000F403D">
            <w:pPr>
              <w:rPr>
                <w:noProof/>
              </w:rPr>
            </w:pPr>
            <w:r>
              <w:t>Potestades que se le delegará:</w:t>
            </w:r>
          </w:p>
          <w:p w:rsidR="00980C3E" w:rsidRPr="00980C3E" w:rsidRDefault="00980C3E" w:rsidP="000F403D">
            <w:pPr>
              <w:rPr>
                <w:noProof/>
              </w:rPr>
            </w:pPr>
            <w:r>
              <w:t>1.</w:t>
            </w:r>
          </w:p>
          <w:p w:rsidR="00980C3E" w:rsidRPr="00980C3E" w:rsidRDefault="00980C3E" w:rsidP="000F403D">
            <w:pPr>
              <w:rPr>
                <w:noProof/>
              </w:rPr>
            </w:pPr>
            <w:r>
              <w:t>2.</w:t>
            </w:r>
          </w:p>
          <w:p w:rsidR="00980C3E" w:rsidRPr="00980C3E" w:rsidRDefault="00980C3E" w:rsidP="000F403D">
            <w:pPr>
              <w:rPr>
                <w:noProof/>
              </w:rPr>
            </w:pPr>
            <w:r>
              <w:t>3.</w:t>
            </w:r>
          </w:p>
          <w:p w:rsidR="00980C3E" w:rsidRPr="00980C3E" w:rsidRDefault="00980C3E" w:rsidP="000F403D">
            <w:pPr>
              <w:rPr>
                <w:noProof/>
              </w:rPr>
            </w:pPr>
          </w:p>
        </w:tc>
      </w:tr>
    </w:tbl>
    <w:p w:rsidR="00980C3E" w:rsidRPr="00980C3E" w:rsidRDefault="00980C3E" w:rsidP="00980C3E">
      <w:pPr>
        <w:rPr>
          <w:rFonts w:cstheme="minorHAnsi"/>
          <w:noProof/>
          <w:szCs w:val="22"/>
        </w:rPr>
      </w:pPr>
    </w:p>
    <w:tbl>
      <w:tblPr>
        <w:tblStyle w:val="TableGrid"/>
        <w:tblW w:w="0" w:type="auto"/>
        <w:jc w:val="center"/>
        <w:tblLook w:val="04A0" w:firstRow="1" w:lastRow="0" w:firstColumn="1" w:lastColumn="0" w:noHBand="0" w:noVBand="1"/>
      </w:tblPr>
      <w:tblGrid>
        <w:gridCol w:w="9576"/>
      </w:tblGrid>
      <w:tr w:rsidR="00980C3E" w:rsidRPr="00980C3E" w:rsidTr="000F403D">
        <w:trPr>
          <w:jc w:val="center"/>
        </w:trPr>
        <w:tc>
          <w:tcPr>
            <w:tcW w:w="12420" w:type="dxa"/>
            <w:shd w:val="clear" w:color="auto" w:fill="44546A"/>
          </w:tcPr>
          <w:p w:rsidR="00980C3E" w:rsidRPr="00980C3E" w:rsidRDefault="00980C3E" w:rsidP="000F403D">
            <w:pPr>
              <w:keepNext/>
              <w:keepLines/>
              <w:jc w:val="center"/>
              <w:rPr>
                <w:b/>
                <w:noProof/>
                <w:color w:val="FFFFFF" w:themeColor="background1"/>
              </w:rPr>
            </w:pPr>
            <w:r>
              <w:rPr>
                <w:b/>
                <w:color w:val="FFFFFF" w:themeColor="background1"/>
              </w:rPr>
              <w:t>[Título del puesto]</w:t>
            </w:r>
          </w:p>
        </w:tc>
      </w:tr>
      <w:tr w:rsidR="00980C3E" w:rsidRPr="00980C3E" w:rsidTr="000F403D">
        <w:trPr>
          <w:jc w:val="center"/>
        </w:trPr>
        <w:tc>
          <w:tcPr>
            <w:tcW w:w="12420" w:type="dxa"/>
          </w:tcPr>
          <w:p w:rsidR="00980C3E" w:rsidRPr="00980C3E" w:rsidRDefault="00980C3E" w:rsidP="000F403D">
            <w:pPr>
              <w:keepNext/>
              <w:keepLines/>
              <w:rPr>
                <w:noProof/>
              </w:rPr>
            </w:pPr>
            <w:r>
              <w:t xml:space="preserve">Alterno 1: </w:t>
            </w:r>
          </w:p>
        </w:tc>
      </w:tr>
      <w:tr w:rsidR="00980C3E" w:rsidRPr="00980C3E" w:rsidTr="000F403D">
        <w:trPr>
          <w:jc w:val="center"/>
        </w:trPr>
        <w:tc>
          <w:tcPr>
            <w:tcW w:w="12420" w:type="dxa"/>
          </w:tcPr>
          <w:p w:rsidR="00980C3E" w:rsidRPr="00980C3E" w:rsidRDefault="00980C3E" w:rsidP="000F403D">
            <w:pPr>
              <w:keepNext/>
              <w:keepLines/>
              <w:rPr>
                <w:noProof/>
              </w:rPr>
            </w:pPr>
            <w:r>
              <w:t xml:space="preserve">Alterno 2: </w:t>
            </w:r>
          </w:p>
        </w:tc>
      </w:tr>
      <w:tr w:rsidR="00980C3E" w:rsidRPr="00980C3E" w:rsidTr="000F403D">
        <w:trPr>
          <w:jc w:val="center"/>
        </w:trPr>
        <w:tc>
          <w:tcPr>
            <w:tcW w:w="12420" w:type="dxa"/>
          </w:tcPr>
          <w:p w:rsidR="00980C3E" w:rsidRPr="00980C3E" w:rsidRDefault="00980C3E" w:rsidP="000F403D">
            <w:pPr>
              <w:rPr>
                <w:noProof/>
              </w:rPr>
            </w:pPr>
            <w:r>
              <w:t>Tareas esenciales a realizar:</w:t>
            </w:r>
          </w:p>
          <w:p w:rsidR="00980C3E" w:rsidRPr="00980C3E" w:rsidRDefault="00980C3E" w:rsidP="000F403D">
            <w:pPr>
              <w:rPr>
                <w:noProof/>
              </w:rPr>
            </w:pPr>
            <w:r>
              <w:t>1.</w:t>
            </w:r>
          </w:p>
          <w:p w:rsidR="00980C3E" w:rsidRPr="00980C3E" w:rsidRDefault="00980C3E" w:rsidP="000F403D">
            <w:pPr>
              <w:rPr>
                <w:noProof/>
              </w:rPr>
            </w:pPr>
            <w:r>
              <w:t>2.</w:t>
            </w:r>
          </w:p>
          <w:p w:rsidR="00980C3E" w:rsidRPr="00980C3E" w:rsidRDefault="00980C3E" w:rsidP="000F403D">
            <w:pPr>
              <w:rPr>
                <w:noProof/>
              </w:rPr>
            </w:pPr>
            <w:r>
              <w:t>3.</w:t>
            </w:r>
          </w:p>
          <w:p w:rsidR="00980C3E" w:rsidRPr="00980C3E" w:rsidRDefault="00980C3E" w:rsidP="000F403D">
            <w:pPr>
              <w:rPr>
                <w:noProof/>
              </w:rPr>
            </w:pPr>
          </w:p>
        </w:tc>
      </w:tr>
      <w:tr w:rsidR="00980C3E" w:rsidRPr="00980C3E" w:rsidTr="000F403D">
        <w:trPr>
          <w:jc w:val="center"/>
        </w:trPr>
        <w:tc>
          <w:tcPr>
            <w:tcW w:w="12420" w:type="dxa"/>
          </w:tcPr>
          <w:p w:rsidR="00980C3E" w:rsidRPr="00980C3E" w:rsidRDefault="00980C3E" w:rsidP="000F403D">
            <w:pPr>
              <w:rPr>
                <w:noProof/>
              </w:rPr>
            </w:pPr>
            <w:r>
              <w:t>Potestades que se le delegará:</w:t>
            </w:r>
          </w:p>
          <w:p w:rsidR="00980C3E" w:rsidRPr="00980C3E" w:rsidRDefault="00980C3E" w:rsidP="000F403D">
            <w:pPr>
              <w:rPr>
                <w:noProof/>
              </w:rPr>
            </w:pPr>
            <w:r>
              <w:t>1.</w:t>
            </w:r>
          </w:p>
          <w:p w:rsidR="00980C3E" w:rsidRPr="00980C3E" w:rsidRDefault="00980C3E" w:rsidP="000F403D">
            <w:pPr>
              <w:rPr>
                <w:noProof/>
              </w:rPr>
            </w:pPr>
            <w:r>
              <w:t>2.</w:t>
            </w:r>
          </w:p>
          <w:p w:rsidR="00980C3E" w:rsidRPr="00980C3E" w:rsidRDefault="00980C3E" w:rsidP="000F403D">
            <w:pPr>
              <w:rPr>
                <w:noProof/>
              </w:rPr>
            </w:pPr>
            <w:r>
              <w:t>3.</w:t>
            </w:r>
          </w:p>
          <w:p w:rsidR="00980C3E" w:rsidRPr="00980C3E" w:rsidRDefault="00980C3E" w:rsidP="000F403D">
            <w:pPr>
              <w:rPr>
                <w:noProof/>
              </w:rPr>
            </w:pPr>
          </w:p>
        </w:tc>
      </w:tr>
    </w:tbl>
    <w:p w:rsidR="00980C3E" w:rsidRPr="00980C3E" w:rsidRDefault="00980C3E" w:rsidP="00980C3E">
      <w:pPr>
        <w:rPr>
          <w:rFonts w:cstheme="minorHAnsi"/>
          <w:noProof/>
          <w:szCs w:val="22"/>
        </w:rPr>
      </w:pPr>
    </w:p>
    <w:tbl>
      <w:tblPr>
        <w:tblStyle w:val="TableGrid"/>
        <w:tblW w:w="0" w:type="auto"/>
        <w:jc w:val="center"/>
        <w:tblLook w:val="04A0" w:firstRow="1" w:lastRow="0" w:firstColumn="1" w:lastColumn="0" w:noHBand="0" w:noVBand="1"/>
      </w:tblPr>
      <w:tblGrid>
        <w:gridCol w:w="9576"/>
      </w:tblGrid>
      <w:tr w:rsidR="00980C3E" w:rsidRPr="00980C3E" w:rsidTr="000F403D">
        <w:trPr>
          <w:jc w:val="center"/>
        </w:trPr>
        <w:tc>
          <w:tcPr>
            <w:tcW w:w="12420" w:type="dxa"/>
            <w:shd w:val="clear" w:color="auto" w:fill="44546A"/>
          </w:tcPr>
          <w:p w:rsidR="00980C3E" w:rsidRPr="00980C3E" w:rsidRDefault="00980C3E" w:rsidP="000F403D">
            <w:pPr>
              <w:jc w:val="center"/>
              <w:rPr>
                <w:b/>
                <w:noProof/>
                <w:color w:val="FFFFFF" w:themeColor="background1"/>
              </w:rPr>
            </w:pPr>
            <w:r>
              <w:rPr>
                <w:b/>
                <w:color w:val="FFFFFF" w:themeColor="background1"/>
              </w:rPr>
              <w:t>[Título del puesto]</w:t>
            </w:r>
          </w:p>
        </w:tc>
      </w:tr>
      <w:tr w:rsidR="00980C3E" w:rsidRPr="00980C3E" w:rsidTr="000F403D">
        <w:trPr>
          <w:jc w:val="center"/>
        </w:trPr>
        <w:tc>
          <w:tcPr>
            <w:tcW w:w="12420" w:type="dxa"/>
          </w:tcPr>
          <w:p w:rsidR="00980C3E" w:rsidRPr="00980C3E" w:rsidRDefault="00980C3E" w:rsidP="000F403D">
            <w:pPr>
              <w:rPr>
                <w:noProof/>
              </w:rPr>
            </w:pPr>
            <w:r>
              <w:t xml:space="preserve">Alterno 1: </w:t>
            </w:r>
          </w:p>
        </w:tc>
      </w:tr>
      <w:tr w:rsidR="00980C3E" w:rsidRPr="00980C3E" w:rsidTr="000F403D">
        <w:trPr>
          <w:jc w:val="center"/>
        </w:trPr>
        <w:tc>
          <w:tcPr>
            <w:tcW w:w="12420" w:type="dxa"/>
          </w:tcPr>
          <w:p w:rsidR="00980C3E" w:rsidRPr="00980C3E" w:rsidRDefault="00980C3E" w:rsidP="000F403D">
            <w:pPr>
              <w:rPr>
                <w:noProof/>
              </w:rPr>
            </w:pPr>
            <w:r>
              <w:t xml:space="preserve">Alterno 2: </w:t>
            </w:r>
          </w:p>
        </w:tc>
      </w:tr>
      <w:tr w:rsidR="00980C3E" w:rsidRPr="00980C3E" w:rsidTr="000F403D">
        <w:trPr>
          <w:jc w:val="center"/>
        </w:trPr>
        <w:tc>
          <w:tcPr>
            <w:tcW w:w="12420" w:type="dxa"/>
          </w:tcPr>
          <w:p w:rsidR="00980C3E" w:rsidRPr="00980C3E" w:rsidRDefault="00980C3E" w:rsidP="000F403D">
            <w:pPr>
              <w:rPr>
                <w:noProof/>
              </w:rPr>
            </w:pPr>
            <w:r>
              <w:t>Tareas esenciales a realizar:</w:t>
            </w:r>
          </w:p>
          <w:p w:rsidR="00980C3E" w:rsidRPr="00980C3E" w:rsidRDefault="00980C3E" w:rsidP="000F403D">
            <w:pPr>
              <w:rPr>
                <w:noProof/>
              </w:rPr>
            </w:pPr>
            <w:r>
              <w:t>1.</w:t>
            </w:r>
          </w:p>
          <w:p w:rsidR="00980C3E" w:rsidRPr="00980C3E" w:rsidRDefault="00980C3E" w:rsidP="000F403D">
            <w:pPr>
              <w:rPr>
                <w:noProof/>
              </w:rPr>
            </w:pPr>
            <w:r>
              <w:t>2.</w:t>
            </w:r>
          </w:p>
          <w:p w:rsidR="00980C3E" w:rsidRPr="00980C3E" w:rsidRDefault="00980C3E" w:rsidP="000F403D">
            <w:pPr>
              <w:rPr>
                <w:noProof/>
              </w:rPr>
            </w:pPr>
            <w:r>
              <w:t>3.</w:t>
            </w:r>
          </w:p>
          <w:p w:rsidR="00980C3E" w:rsidRPr="00980C3E" w:rsidRDefault="00980C3E" w:rsidP="000F403D">
            <w:pPr>
              <w:rPr>
                <w:noProof/>
              </w:rPr>
            </w:pPr>
          </w:p>
        </w:tc>
      </w:tr>
      <w:tr w:rsidR="00980C3E" w:rsidRPr="00980C3E" w:rsidTr="000F403D">
        <w:trPr>
          <w:jc w:val="center"/>
        </w:trPr>
        <w:tc>
          <w:tcPr>
            <w:tcW w:w="12420" w:type="dxa"/>
          </w:tcPr>
          <w:p w:rsidR="00980C3E" w:rsidRPr="00980C3E" w:rsidRDefault="00980C3E" w:rsidP="000F403D">
            <w:pPr>
              <w:rPr>
                <w:noProof/>
              </w:rPr>
            </w:pPr>
            <w:r>
              <w:t>Potestades que se le delegará:</w:t>
            </w:r>
          </w:p>
          <w:p w:rsidR="00980C3E" w:rsidRPr="00980C3E" w:rsidRDefault="00980C3E" w:rsidP="000F403D">
            <w:pPr>
              <w:rPr>
                <w:noProof/>
              </w:rPr>
            </w:pPr>
            <w:r>
              <w:t>1.</w:t>
            </w:r>
          </w:p>
          <w:p w:rsidR="00980C3E" w:rsidRPr="00980C3E" w:rsidRDefault="00980C3E" w:rsidP="000F403D">
            <w:pPr>
              <w:rPr>
                <w:noProof/>
              </w:rPr>
            </w:pPr>
            <w:r>
              <w:t>2.</w:t>
            </w:r>
          </w:p>
          <w:p w:rsidR="00980C3E" w:rsidRPr="00980C3E" w:rsidRDefault="00980C3E" w:rsidP="000F403D">
            <w:pPr>
              <w:rPr>
                <w:noProof/>
              </w:rPr>
            </w:pPr>
            <w:r>
              <w:t>3.</w:t>
            </w:r>
          </w:p>
          <w:p w:rsidR="00980C3E" w:rsidRPr="00980C3E" w:rsidRDefault="00980C3E" w:rsidP="000F403D">
            <w:pPr>
              <w:rPr>
                <w:noProof/>
              </w:rPr>
            </w:pPr>
          </w:p>
        </w:tc>
      </w:tr>
    </w:tbl>
    <w:p w:rsidR="00980C3E" w:rsidRPr="00980C3E" w:rsidRDefault="00980C3E" w:rsidP="00980C3E">
      <w:pPr>
        <w:pStyle w:val="Heading1"/>
        <w:rPr>
          <w:noProof/>
        </w:rPr>
      </w:pPr>
      <w:r>
        <w:lastRenderedPageBreak/>
        <w:t xml:space="preserve">Entidades asociadas </w:t>
      </w:r>
    </w:p>
    <w:p w:rsidR="00980C3E" w:rsidRPr="00980C3E" w:rsidRDefault="00E319F4" w:rsidP="00EC6E03">
      <w:pPr>
        <w:jc w:val="both"/>
        <w:rPr>
          <w:noProof/>
        </w:rPr>
      </w:pPr>
      <w:r>
        <w:t>Conforme evoluciona</w:t>
      </w:r>
      <w:r w:rsidR="00980C3E">
        <w:t xml:space="preserve"> la pandemia de COVID-19, es esencial la interacción constante entre los servicios 911, los servicios de emergencias médicas, las entidades de salud pública y las entidades de manejo de emergencias, así como los centros de operaciones de emergencia en funcionamiento. Se debe tener una lista de contactos estatales y locales, que incluya nombres, cargos, direcciones de correo electrónico y números de teléfono de oficina y celular. Durante una pandemia, una relación de trabajo con el 911 es esencial por dos razones:</w:t>
      </w:r>
    </w:p>
    <w:p w:rsidR="00980C3E" w:rsidRPr="00980C3E" w:rsidRDefault="00980C3E" w:rsidP="00EC6E03">
      <w:pPr>
        <w:jc w:val="both"/>
        <w:rPr>
          <w:noProof/>
        </w:rPr>
      </w:pPr>
    </w:p>
    <w:p w:rsidR="00980C3E" w:rsidRPr="00980C3E" w:rsidRDefault="00980C3E" w:rsidP="00EC6E03">
      <w:pPr>
        <w:pStyle w:val="ListParagraph"/>
        <w:numPr>
          <w:ilvl w:val="0"/>
          <w:numId w:val="36"/>
        </w:numPr>
        <w:ind w:left="360"/>
        <w:jc w:val="both"/>
        <w:rPr>
          <w:noProof/>
        </w:rPr>
      </w:pPr>
      <w:r>
        <w:t xml:space="preserve">La necesidad de hacer preguntas específicas a las personas que llaman al 911 seguirá evolucionando. </w:t>
      </w:r>
    </w:p>
    <w:p w:rsidR="00980C3E" w:rsidRPr="00980C3E" w:rsidRDefault="00980C3E" w:rsidP="00EC6E03">
      <w:pPr>
        <w:pStyle w:val="ListParagraph"/>
        <w:numPr>
          <w:ilvl w:val="0"/>
          <w:numId w:val="36"/>
        </w:numPr>
        <w:ind w:left="360"/>
        <w:jc w:val="both"/>
        <w:rPr>
          <w:noProof/>
        </w:rPr>
      </w:pPr>
      <w:r>
        <w:t>Es probable que la respuesta de los servicios de emergencia a las llamadas al 911 evolucione y pueda incluir instrucciones de cuidados alternativos, por ejemplo, médicos privados, departamentos de salud, etc.</w:t>
      </w:r>
    </w:p>
    <w:p w:rsidR="00980C3E" w:rsidRPr="00980C3E" w:rsidRDefault="00980C3E" w:rsidP="00EC6E03">
      <w:pPr>
        <w:jc w:val="both"/>
        <w:rPr>
          <w:noProof/>
        </w:rPr>
      </w:pPr>
    </w:p>
    <w:p w:rsidR="00980C3E" w:rsidRPr="00980C3E" w:rsidRDefault="00980C3E" w:rsidP="00EC6E03">
      <w:pPr>
        <w:jc w:val="both"/>
        <w:rPr>
          <w:noProof/>
        </w:rPr>
      </w:pPr>
      <w:r>
        <w:t xml:space="preserve">Con la finalidad de asegurar que los protocolos de tamizaje y despacho estén actualizados, y para garantizar que se satisfagan las necesidades que vayan surgiendo, se </w:t>
      </w:r>
      <w:r>
        <w:rPr>
          <w:b/>
          <w:u w:val="single"/>
        </w:rPr>
        <w:t>recomienda en gran medida</w:t>
      </w:r>
      <w:r>
        <w:t xml:space="preserve"> que todas las entidades que participan en la respuesta a un evento pandémico establezcan mecanismos coherentes de interacción lo antes posible. A fin de posibilitar este proceso, debe considerarse la posibilidad de identificar los puntos de contacto. Estos sitios web pueden resultar útiles:</w:t>
      </w:r>
    </w:p>
    <w:p w:rsidR="00980C3E" w:rsidRPr="00980C3E" w:rsidRDefault="00980C3E" w:rsidP="00EC6E03">
      <w:pPr>
        <w:jc w:val="both"/>
        <w:rPr>
          <w:noProof/>
        </w:rPr>
      </w:pPr>
    </w:p>
    <w:p w:rsidR="00980C3E" w:rsidRPr="00980C3E" w:rsidRDefault="00980C3E" w:rsidP="00EC6E03">
      <w:pPr>
        <w:pStyle w:val="ListParagraph"/>
        <w:numPr>
          <w:ilvl w:val="0"/>
          <w:numId w:val="37"/>
        </w:numPr>
        <w:spacing w:after="160" w:line="256" w:lineRule="auto"/>
        <w:ind w:left="360"/>
        <w:jc w:val="both"/>
        <w:rPr>
          <w:noProof/>
        </w:rPr>
      </w:pPr>
      <w:r>
        <w:t xml:space="preserve">Entidades estatales de 911:  </w:t>
      </w:r>
      <w:hyperlink r:id="rId29" w:history="1">
        <w:r>
          <w:rPr>
            <w:rStyle w:val="Hyperlink"/>
          </w:rPr>
          <w:t>http://www.nasna911.org/state-911-contacts</w:t>
        </w:r>
      </w:hyperlink>
    </w:p>
    <w:p w:rsidR="00980C3E" w:rsidRPr="00980C3E" w:rsidRDefault="00980C3E" w:rsidP="00EC6E03">
      <w:pPr>
        <w:pStyle w:val="ListParagraph"/>
        <w:numPr>
          <w:ilvl w:val="0"/>
          <w:numId w:val="37"/>
        </w:numPr>
        <w:spacing w:after="160" w:line="256" w:lineRule="auto"/>
        <w:ind w:left="360"/>
        <w:jc w:val="both"/>
        <w:rPr>
          <w:noProof/>
        </w:rPr>
      </w:pPr>
      <w:r>
        <w:t xml:space="preserve">Entidades estatales de servicios de emergencias médicas:  </w:t>
      </w:r>
      <w:hyperlink r:id="rId30" w:history="1">
        <w:r>
          <w:rPr>
            <w:rStyle w:val="Hyperlink"/>
          </w:rPr>
          <w:t>https://nasemso.org/about/state-agencies/</w:t>
        </w:r>
      </w:hyperlink>
    </w:p>
    <w:p w:rsidR="00980C3E" w:rsidRPr="00980C3E" w:rsidRDefault="00980C3E" w:rsidP="00EC6E03">
      <w:pPr>
        <w:pStyle w:val="ListParagraph"/>
        <w:numPr>
          <w:ilvl w:val="0"/>
          <w:numId w:val="37"/>
        </w:numPr>
        <w:spacing w:after="160" w:line="256" w:lineRule="auto"/>
        <w:ind w:left="360"/>
        <w:rPr>
          <w:noProof/>
        </w:rPr>
      </w:pPr>
      <w:r>
        <w:t xml:space="preserve">Organismos estatales de salud pública:  </w:t>
      </w:r>
      <w:hyperlink r:id="rId31" w:history="1">
        <w:r>
          <w:rPr>
            <w:rStyle w:val="Hyperlink"/>
          </w:rPr>
          <w:t>https://www.cdc.gov/publichealthgateway/healthdirectories/healthdepartments.html</w:t>
        </w:r>
      </w:hyperlink>
    </w:p>
    <w:p w:rsidR="00980C3E" w:rsidRPr="00980C3E" w:rsidRDefault="00980C3E" w:rsidP="00EC6E03">
      <w:pPr>
        <w:pStyle w:val="ListParagraph"/>
        <w:numPr>
          <w:ilvl w:val="0"/>
          <w:numId w:val="37"/>
        </w:numPr>
        <w:spacing w:after="160" w:line="256" w:lineRule="auto"/>
        <w:ind w:left="360"/>
        <w:jc w:val="both"/>
        <w:rPr>
          <w:noProof/>
        </w:rPr>
      </w:pPr>
      <w:r>
        <w:t xml:space="preserve">Organismos estatales de gestión de emergencias:  </w:t>
      </w:r>
      <w:hyperlink r:id="rId32" w:history="1">
        <w:r>
          <w:rPr>
            <w:rStyle w:val="Hyperlink"/>
          </w:rPr>
          <w:t>https://www.fema.gov/emergency-management-agencies</w:t>
        </w:r>
      </w:hyperlink>
    </w:p>
    <w:p w:rsidR="00980C3E" w:rsidRDefault="00980C3E" w:rsidP="00980C3E">
      <w:pPr>
        <w:spacing w:before="60" w:after="60"/>
        <w:rPr>
          <w:noProof/>
        </w:rPr>
      </w:pPr>
    </w:p>
    <w:p w:rsidR="00F43BA8" w:rsidRPr="00980C3E" w:rsidRDefault="00F43BA8" w:rsidP="00980C3E">
      <w:pPr>
        <w:spacing w:before="60" w:after="60"/>
        <w:rPr>
          <w:noProof/>
        </w:rPr>
      </w:pPr>
    </w:p>
    <w:p w:rsidR="00980C3E" w:rsidRPr="00980C3E" w:rsidRDefault="00980C3E" w:rsidP="00980C3E">
      <w:pPr>
        <w:spacing w:before="60" w:after="60"/>
        <w:rPr>
          <w:noProof/>
          <w:sz w:val="32"/>
        </w:rPr>
      </w:pPr>
      <w:r>
        <w:rPr>
          <w:sz w:val="32"/>
        </w:rPr>
        <w:t>XII. Recursos en línea</w:t>
      </w:r>
    </w:p>
    <w:p w:rsidR="00980C3E" w:rsidRPr="00980C3E" w:rsidRDefault="00980C3E" w:rsidP="00980C3E">
      <w:pPr>
        <w:spacing w:before="60" w:after="60"/>
        <w:rPr>
          <w:noProof/>
        </w:rPr>
      </w:pPr>
    </w:p>
    <w:p w:rsidR="00980C3E" w:rsidRPr="00980C3E" w:rsidRDefault="00980C3E" w:rsidP="00980C3E">
      <w:pPr>
        <w:spacing w:before="60" w:after="60"/>
        <w:rPr>
          <w:noProof/>
        </w:rPr>
      </w:pPr>
      <w:r>
        <w:t>A continuación se presenta una lista de recursos (todos en inglés):</w:t>
      </w:r>
    </w:p>
    <w:p w:rsidR="00980C3E" w:rsidRPr="00980C3E" w:rsidRDefault="00980C3E" w:rsidP="00980C3E">
      <w:pPr>
        <w:rPr>
          <w:noProof/>
        </w:rPr>
      </w:pPr>
    </w:p>
    <w:p w:rsidR="00980C3E" w:rsidRPr="00980C3E" w:rsidRDefault="00EE6CA5" w:rsidP="00980C3E">
      <w:pPr>
        <w:numPr>
          <w:ilvl w:val="0"/>
          <w:numId w:val="50"/>
        </w:numPr>
        <w:rPr>
          <w:noProof/>
        </w:rPr>
      </w:pPr>
      <w:hyperlink r:id="rId33" w:history="1">
        <w:r w:rsidR="00980C3E">
          <w:rPr>
            <w:rStyle w:val="Hyperlink"/>
          </w:rPr>
          <w:t>Directrices de los CDC</w:t>
        </w:r>
      </w:hyperlink>
    </w:p>
    <w:p w:rsidR="00980C3E" w:rsidRPr="00980C3E" w:rsidRDefault="00EE6CA5" w:rsidP="00980C3E">
      <w:pPr>
        <w:numPr>
          <w:ilvl w:val="0"/>
          <w:numId w:val="50"/>
        </w:numPr>
        <w:rPr>
          <w:noProof/>
        </w:rPr>
      </w:pPr>
      <w:hyperlink r:id="rId34" w:history="1">
        <w:r w:rsidR="00980C3E">
          <w:rPr>
            <w:rStyle w:val="Hyperlink"/>
          </w:rPr>
          <w:t>Cómo prepararse para una pandemia</w:t>
        </w:r>
      </w:hyperlink>
    </w:p>
    <w:p w:rsidR="00980C3E" w:rsidRPr="00980C3E" w:rsidRDefault="00980C3E" w:rsidP="00980C3E">
      <w:pPr>
        <w:numPr>
          <w:ilvl w:val="0"/>
          <w:numId w:val="50"/>
        </w:numPr>
        <w:rPr>
          <w:rStyle w:val="Hyperlink"/>
          <w:noProof/>
        </w:rPr>
      </w:pPr>
      <w:r>
        <w:rPr>
          <w:rStyle w:val="Hyperlink"/>
        </w:rPr>
        <w:t>Recursos COVID-19 del Programa Nacional 911</w:t>
      </w:r>
      <w:hyperlink r:id="rId35" w:history="1"/>
    </w:p>
    <w:p w:rsidR="00980C3E" w:rsidRPr="00980C3E" w:rsidRDefault="00EE6CA5" w:rsidP="00980C3E">
      <w:pPr>
        <w:numPr>
          <w:ilvl w:val="0"/>
          <w:numId w:val="50"/>
        </w:numPr>
        <w:rPr>
          <w:noProof/>
        </w:rPr>
      </w:pPr>
      <w:hyperlink r:id="rId36" w:history="1">
        <w:r w:rsidR="00980C3E">
          <w:rPr>
            <w:rStyle w:val="Hyperlink"/>
          </w:rPr>
          <w:t>Recursos NENA</w:t>
        </w:r>
      </w:hyperlink>
    </w:p>
    <w:p w:rsidR="00980C3E" w:rsidRPr="00980C3E" w:rsidRDefault="00EE6CA5" w:rsidP="00980C3E">
      <w:pPr>
        <w:numPr>
          <w:ilvl w:val="0"/>
          <w:numId w:val="50"/>
        </w:numPr>
        <w:rPr>
          <w:noProof/>
        </w:rPr>
      </w:pPr>
      <w:hyperlink r:id="rId37" w:history="1">
        <w:r w:rsidR="00980C3E">
          <w:rPr>
            <w:rStyle w:val="Hyperlink"/>
          </w:rPr>
          <w:t>Recursos APCO</w:t>
        </w:r>
      </w:hyperlink>
    </w:p>
    <w:p w:rsidR="00980C3E" w:rsidRPr="00980C3E" w:rsidRDefault="00EE6CA5" w:rsidP="00980C3E">
      <w:pPr>
        <w:numPr>
          <w:ilvl w:val="0"/>
          <w:numId w:val="50"/>
        </w:numPr>
        <w:rPr>
          <w:noProof/>
        </w:rPr>
      </w:pPr>
      <w:hyperlink r:id="rId38" w:history="1">
        <w:r w:rsidR="00980C3E">
          <w:rPr>
            <w:rStyle w:val="Hyperlink"/>
          </w:rPr>
          <w:t>Recursos NASNA</w:t>
        </w:r>
      </w:hyperlink>
    </w:p>
    <w:p w:rsidR="00980C3E" w:rsidRPr="00980C3E" w:rsidRDefault="00EE6CA5" w:rsidP="00980C3E">
      <w:pPr>
        <w:numPr>
          <w:ilvl w:val="0"/>
          <w:numId w:val="50"/>
        </w:numPr>
        <w:rPr>
          <w:rStyle w:val="Hyperlink"/>
          <w:noProof/>
          <w:color w:val="auto"/>
          <w:u w:val="none"/>
        </w:rPr>
      </w:pPr>
      <w:hyperlink r:id="rId39" w:history="1">
        <w:r w:rsidR="00980C3E">
          <w:rPr>
            <w:rStyle w:val="Hyperlink"/>
          </w:rPr>
          <w:t>EEOC</w:t>
        </w:r>
      </w:hyperlink>
    </w:p>
    <w:p w:rsidR="00980C3E" w:rsidRPr="00980C3E" w:rsidRDefault="00EE6CA5" w:rsidP="00980C3E">
      <w:pPr>
        <w:numPr>
          <w:ilvl w:val="0"/>
          <w:numId w:val="50"/>
        </w:numPr>
        <w:rPr>
          <w:rStyle w:val="Hyperlink"/>
          <w:noProof/>
          <w:color w:val="auto"/>
          <w:u w:val="none"/>
        </w:rPr>
      </w:pPr>
      <w:hyperlink r:id="rId40" w:history="1">
        <w:r w:rsidR="00980C3E">
          <w:rPr>
            <w:rStyle w:val="Hyperlink"/>
          </w:rPr>
          <w:t>OSHA</w:t>
        </w:r>
      </w:hyperlink>
    </w:p>
    <w:p w:rsidR="00980C3E" w:rsidRPr="00980C3E" w:rsidRDefault="00EE6CA5" w:rsidP="00980C3E">
      <w:pPr>
        <w:numPr>
          <w:ilvl w:val="0"/>
          <w:numId w:val="50"/>
        </w:numPr>
        <w:rPr>
          <w:noProof/>
        </w:rPr>
      </w:pPr>
      <w:hyperlink r:id="rId41" w:history="1">
        <w:r w:rsidR="00980C3E">
          <w:rPr>
            <w:rStyle w:val="Hyperlink"/>
          </w:rPr>
          <w:t>Recursos IAED</w:t>
        </w:r>
      </w:hyperlink>
    </w:p>
    <w:p w:rsidR="00980C3E" w:rsidRPr="00980C3E" w:rsidRDefault="00F43BA8" w:rsidP="00980C3E">
      <w:pPr>
        <w:spacing w:before="60" w:after="60"/>
        <w:rPr>
          <w:noProof/>
        </w:rPr>
      </w:pPr>
      <w:r>
        <w:rPr>
          <w:noProof/>
          <w:lang w:val="en-US" w:eastAsia="zh-CN"/>
        </w:rPr>
        <mc:AlternateContent>
          <mc:Choice Requires="wps">
            <w:drawing>
              <wp:anchor distT="0" distB="0" distL="114300" distR="114300" simplePos="0" relativeHeight="251659264" behindDoc="0" locked="1" layoutInCell="1" allowOverlap="1" wp14:anchorId="32B37485" wp14:editId="610DD7AC">
                <wp:simplePos x="0" y="0"/>
                <wp:positionH relativeFrom="column">
                  <wp:posOffset>-87630</wp:posOffset>
                </wp:positionH>
                <wp:positionV relativeFrom="page">
                  <wp:posOffset>9144000</wp:posOffset>
                </wp:positionV>
                <wp:extent cx="1780540" cy="2286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0540" cy="228600"/>
                        </a:xfrm>
                        <a:prstGeom prst="rect">
                          <a:avLst/>
                        </a:prstGeom>
                        <a:noFill/>
                        <a:ln w="9525" cap="flat" cmpd="sng" algn="ctr">
                          <a:noFill/>
                          <a:prstDash val="solid"/>
                          <a:round/>
                          <a:headEnd type="none" w="med" len="med"/>
                          <a:tailEnd type="none" w="med" len="med"/>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xmlns:w16se="http://schemas.microsoft.com/office/word/2015/wordml/symex" xmlns:w15="http://schemas.microsoft.com/office/word/2012/wordml"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rsidR="00F43BA8" w:rsidRPr="00F43BA8" w:rsidRDefault="00F43BA8">
                            <w:pPr>
                              <w:rPr>
                                <w:rFonts w:ascii="Times New Roman" w:hAnsi="Times New Roman" w:cs="Times New Roman"/>
                                <w:sz w:val="18"/>
                              </w:rPr>
                            </w:pPr>
                            <w:r>
                              <w:rPr>
                                <w:rFonts w:ascii="Times New Roman" w:hAnsi="Times New Roman" w:cs="Times New Roman"/>
                                <w:sz w:val="18"/>
                              </w:rPr>
                              <w:fldChar w:fldCharType="begin"/>
                            </w:r>
                            <w:r>
                              <w:rPr>
                                <w:rFonts w:ascii="Times New Roman" w:hAnsi="Times New Roman" w:cs="Times New Roman"/>
                                <w:sz w:val="18"/>
                              </w:rPr>
                              <w:instrText xml:space="preserve"> FILENAME  \* MERGEFORMAT </w:instrText>
                            </w:r>
                            <w:r>
                              <w:rPr>
                                <w:rFonts w:ascii="Times New Roman" w:hAnsi="Times New Roman" w:cs="Times New Roman"/>
                                <w:sz w:val="18"/>
                              </w:rPr>
                              <w:fldChar w:fldCharType="separate"/>
                            </w:r>
                            <w:r>
                              <w:rPr>
                                <w:rFonts w:ascii="Times New Roman" w:hAnsi="Times New Roman" w:cs="Times New Roman"/>
                                <w:noProof/>
                                <w:sz w:val="18"/>
                              </w:rPr>
                              <w:t>CGSC11060S04</w:t>
                            </w:r>
                            <w:r>
                              <w:rPr>
                                <w:rFonts w:ascii="Times New Roman" w:hAnsi="Times New Roman" w:cs="Times New Roman"/>
                                <w:sz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6.9pt;margin-top:10in;width:140.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" filled="f" stroked="f">
                <v:stroke joinstyle="round"/>
                <v:path arrowok="t"/>
                <v:textbox>
                  <w:txbxContent>
                    <w:p w:rsidR="00F43BA8" w:rsidRPr="00F43BA8" w:rsidRDefault="00F43BA8">
                      <w:pPr>
                        <w:rPr>
                          <w:rFonts w:ascii="Times New Roman" w:hAnsi="Times New Roman" w:cs="Times New Roman"/>
                          <w:sz w:val="18"/>
                        </w:rPr>
                      </w:pPr>
                      <w:r>
                        <w:rPr>
                          <w:rFonts w:ascii="Times New Roman" w:hAnsi="Times New Roman" w:cs="Times New Roman"/>
                          <w:sz w:val="18"/>
                        </w:rPr>
                        <w:fldChar w:fldCharType="begin"/>
                      </w:r>
                      <w:r>
                        <w:rPr>
                          <w:rFonts w:ascii="Times New Roman" w:hAnsi="Times New Roman" w:cs="Times New Roman"/>
                          <w:sz w:val="18"/>
                        </w:rPr>
                        <w:instrText xml:space="preserve"> FILENAME  \* MERGEFORMAT </w:instrText>
                      </w:r>
                      <w:r>
                        <w:rPr>
                          <w:rFonts w:ascii="Times New Roman" w:hAnsi="Times New Roman" w:cs="Times New Roman"/>
                          <w:sz w:val="18"/>
                        </w:rPr>
                        <w:fldChar w:fldCharType="separate"/>
                      </w:r>
                      <w:r>
                        <w:rPr>
                          <w:rFonts w:ascii="Times New Roman" w:hAnsi="Times New Roman" w:cs="Times New Roman"/>
                          <w:noProof/>
                          <w:sz w:val="18"/>
                        </w:rPr>
                        <w:t>CGSC11060S04</w:t>
                      </w:r>
                      <w:r>
                        <w:rPr>
                          <w:rFonts w:ascii="Times New Roman" w:hAnsi="Times New Roman" w:cs="Times New Roman"/>
                          <w:sz w:val="18"/>
                        </w:rPr>
                        <w:fldChar w:fldCharType="end"/>
                      </w:r>
                    </w:p>
                  </w:txbxContent>
                </v:textbox>
                <w10:wrap anchory="page"/>
                <w10:anchorlock/>
              </v:shape>
            </w:pict>
          </mc:Fallback>
        </mc:AlternateContent>
      </w:r>
    </w:p>
    <w:sectPr w:rsidR="00980C3E" w:rsidRPr="00980C3E" w:rsidSect="00450188">
      <w:headerReference w:type="even" r:id="rId42"/>
      <w:headerReference w:type="default" r:id="rId43"/>
      <w:footerReference w:type="even" r:id="rId44"/>
      <w:footerReference w:type="default" r:id="rId45"/>
      <w:headerReference w:type="first" r:id="rId46"/>
      <w:footerReference w:type="first" r:id="rId47"/>
      <w:pgSz w:w="12240" w:h="15840"/>
      <w:pgMar w:top="1440" w:right="1440" w:bottom="1440" w:left="1440" w:header="720" w:footer="720" w:gutter="0"/>
      <w:pgBorders w:display="firstPage" w:offsetFrom="page">
        <w:top w:val="thickThinLargeGap" w:sz="24" w:space="24" w:color="002060"/>
        <w:left w:val="thickThinLargeGap" w:sz="24" w:space="24" w:color="002060"/>
        <w:bottom w:val="thinThickLargeGap" w:sz="24" w:space="24" w:color="002060"/>
        <w:right w:val="thinThickLargeGap" w:sz="24" w:space="24" w:color="002060"/>
      </w:pgBorders>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CA5" w:rsidRPr="00980C3E" w:rsidRDefault="00EE6CA5" w:rsidP="006B6DE3">
      <w:pPr>
        <w:spacing w:line="240" w:lineRule="auto"/>
        <w:rPr>
          <w:noProof/>
        </w:rPr>
      </w:pPr>
      <w:r w:rsidRPr="00980C3E">
        <w:rPr>
          <w:noProof/>
        </w:rPr>
        <w:separator/>
      </w:r>
    </w:p>
  </w:endnote>
  <w:endnote w:type="continuationSeparator" w:id="0">
    <w:p w:rsidR="00EE6CA5" w:rsidRPr="00980C3E" w:rsidRDefault="00EE6CA5" w:rsidP="006B6DE3">
      <w:pPr>
        <w:spacing w:line="240" w:lineRule="auto"/>
        <w:rPr>
          <w:noProof/>
        </w:rPr>
      </w:pPr>
      <w:r w:rsidRPr="00980C3E">
        <w:rPr>
          <w:noProof/>
        </w:rPr>
        <w:continuationSeparator/>
      </w:r>
    </w:p>
  </w:endnote>
  <w:endnote w:type="continuationNotice" w:id="1">
    <w:p w:rsidR="00EE6CA5" w:rsidRDefault="00EE6CA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Univers-Bold">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rPr>
      <w:id w:val="754241042"/>
      <w:docPartObj>
        <w:docPartGallery w:val="Page Numbers (Bottom of Page)"/>
        <w:docPartUnique/>
      </w:docPartObj>
    </w:sdtPr>
    <w:sdtEndPr/>
    <w:sdtContent>
      <w:p w:rsidR="00120192" w:rsidRPr="00980C3E" w:rsidRDefault="00120192">
        <w:pPr>
          <w:pStyle w:val="Footer"/>
          <w:jc w:val="center"/>
          <w:rPr>
            <w:noProof/>
          </w:rPr>
        </w:pPr>
        <w:r w:rsidRPr="00980C3E">
          <w:fldChar w:fldCharType="begin"/>
        </w:r>
        <w:r w:rsidRPr="00980C3E">
          <w:instrText xml:space="preserve"> PAGE   \* MERGEFORMAT </w:instrText>
        </w:r>
        <w:r w:rsidRPr="00980C3E">
          <w:fldChar w:fldCharType="separate"/>
        </w:r>
        <w:r>
          <w:t>1</w:t>
        </w:r>
        <w:r w:rsidRPr="00980C3E">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192" w:rsidRDefault="001201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rPr>
      <w:id w:val="968087825"/>
      <w:docPartObj>
        <w:docPartGallery w:val="Page Numbers (Bottom of Page)"/>
        <w:docPartUnique/>
      </w:docPartObj>
    </w:sdtPr>
    <w:sdtEndPr/>
    <w:sdtContent>
      <w:p w:rsidR="00120192" w:rsidRPr="00980C3E" w:rsidRDefault="00120192">
        <w:pPr>
          <w:pStyle w:val="Footer"/>
          <w:jc w:val="center"/>
          <w:rPr>
            <w:noProof/>
          </w:rPr>
        </w:pPr>
        <w:r w:rsidRPr="00980C3E">
          <w:fldChar w:fldCharType="begin"/>
        </w:r>
        <w:r w:rsidRPr="00980C3E">
          <w:instrText xml:space="preserve"> PAGE   \* MERGEFORMAT </w:instrText>
        </w:r>
        <w:r w:rsidRPr="00980C3E">
          <w:fldChar w:fldCharType="separate"/>
        </w:r>
        <w:r w:rsidR="00514BA5">
          <w:rPr>
            <w:noProof/>
          </w:rPr>
          <w:t>9</w:t>
        </w:r>
        <w:r w:rsidRPr="00980C3E">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192" w:rsidRDefault="001201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CA5" w:rsidRPr="00980C3E" w:rsidRDefault="00EE6CA5" w:rsidP="006B6DE3">
      <w:pPr>
        <w:spacing w:line="240" w:lineRule="auto"/>
        <w:rPr>
          <w:noProof/>
        </w:rPr>
      </w:pPr>
      <w:r w:rsidRPr="00980C3E">
        <w:rPr>
          <w:noProof/>
        </w:rPr>
        <w:separator/>
      </w:r>
    </w:p>
  </w:footnote>
  <w:footnote w:type="continuationSeparator" w:id="0">
    <w:p w:rsidR="00EE6CA5" w:rsidRPr="00980C3E" w:rsidRDefault="00EE6CA5" w:rsidP="006B6DE3">
      <w:pPr>
        <w:spacing w:line="240" w:lineRule="auto"/>
        <w:rPr>
          <w:noProof/>
        </w:rPr>
      </w:pPr>
      <w:r w:rsidRPr="00980C3E">
        <w:rPr>
          <w:noProof/>
        </w:rPr>
        <w:continuationSeparator/>
      </w:r>
    </w:p>
  </w:footnote>
  <w:footnote w:type="continuationNotice" w:id="1">
    <w:p w:rsidR="00EE6CA5" w:rsidRDefault="00EE6CA5">
      <w:pPr>
        <w:spacing w:line="240" w:lineRule="auto"/>
      </w:pPr>
    </w:p>
  </w:footnote>
  <w:footnote w:id="2">
    <w:p w:rsidR="00120192" w:rsidRPr="00120192" w:rsidRDefault="00120192" w:rsidP="00980C3E">
      <w:pPr>
        <w:pStyle w:val="FootnoteText"/>
        <w:rPr>
          <w:noProof/>
          <w:lang w:val="en-US"/>
        </w:rPr>
      </w:pPr>
      <w:r>
        <w:rPr>
          <w:rStyle w:val="FootnoteReference"/>
          <w:rFonts w:eastAsiaTheme="majorEastAsia"/>
          <w:noProof/>
        </w:rPr>
        <w:footnoteRef/>
      </w:r>
      <w:r w:rsidRPr="00120192">
        <w:rPr>
          <w:lang w:val="en-US"/>
        </w:rPr>
        <w:t xml:space="preserve"> Homeland Security Presidential Directive 7: Critical Infrastructure Identification, Prioritization, and Protection</w:t>
      </w:r>
    </w:p>
  </w:footnote>
  <w:footnote w:id="3">
    <w:p w:rsidR="00120192" w:rsidRPr="00120192" w:rsidRDefault="00120192" w:rsidP="00980C3E">
      <w:pPr>
        <w:pStyle w:val="FootnoteText"/>
        <w:rPr>
          <w:noProof/>
          <w:lang w:val="en-US"/>
        </w:rPr>
      </w:pPr>
      <w:r>
        <w:rPr>
          <w:rStyle w:val="FootnoteReference"/>
          <w:noProof/>
        </w:rPr>
        <w:footnoteRef/>
      </w:r>
      <w:r w:rsidRPr="00120192">
        <w:rPr>
          <w:lang w:val="en-US"/>
        </w:rPr>
        <w:t xml:space="preserve"> </w:t>
      </w:r>
      <w:proofErr w:type="gramStart"/>
      <w:r w:rsidRPr="00120192">
        <w:rPr>
          <w:lang w:val="en-US"/>
        </w:rPr>
        <w:t>Memorandum on Identification of Essential Critical Infrastructure Workers during COVID-19 Response.</w:t>
      </w:r>
      <w:proofErr w:type="gramEnd"/>
      <w:r w:rsidRPr="00120192">
        <w:rPr>
          <w:lang w:val="en-US"/>
        </w:rPr>
        <w:t xml:space="preserve"> (CISA) 19 de </w:t>
      </w:r>
      <w:proofErr w:type="spellStart"/>
      <w:r w:rsidRPr="00120192">
        <w:rPr>
          <w:lang w:val="en-US"/>
        </w:rPr>
        <w:t>marzo</w:t>
      </w:r>
      <w:proofErr w:type="spellEnd"/>
      <w:r w:rsidRPr="00120192">
        <w:rPr>
          <w:lang w:val="en-US"/>
        </w:rPr>
        <w:t xml:space="preserve"> de 2020</w:t>
      </w:r>
    </w:p>
  </w:footnote>
  <w:footnote w:id="4">
    <w:p w:rsidR="00120192" w:rsidRPr="00120192" w:rsidRDefault="00120192" w:rsidP="00980C3E">
      <w:pPr>
        <w:pStyle w:val="FootnoteText"/>
        <w:rPr>
          <w:noProof/>
          <w:lang w:val="en-US"/>
        </w:rPr>
      </w:pPr>
      <w:r>
        <w:rPr>
          <w:rStyle w:val="FootnoteReference"/>
          <w:rFonts w:eastAsiaTheme="majorEastAsia"/>
          <w:noProof/>
        </w:rPr>
        <w:footnoteRef/>
      </w:r>
      <w:r w:rsidRPr="00120192">
        <w:rPr>
          <w:lang w:val="en-US"/>
        </w:rPr>
        <w:t xml:space="preserve"> </w:t>
      </w:r>
      <w:proofErr w:type="gramStart"/>
      <w:r w:rsidRPr="00120192">
        <w:rPr>
          <w:lang w:val="en-US"/>
        </w:rPr>
        <w:t>Principles and Practices of Clinical Virology.</w:t>
      </w:r>
      <w:proofErr w:type="gramEnd"/>
    </w:p>
  </w:footnote>
  <w:footnote w:id="5">
    <w:p w:rsidR="00120192" w:rsidRPr="00120192" w:rsidRDefault="00120192" w:rsidP="00EF7485">
      <w:pPr>
        <w:pStyle w:val="FootnoteText"/>
        <w:rPr>
          <w:noProof/>
          <w:lang w:val="en-US"/>
        </w:rPr>
      </w:pPr>
      <w:r>
        <w:rPr>
          <w:rStyle w:val="FootnoteReference"/>
          <w:noProof/>
        </w:rPr>
        <w:footnoteRef/>
      </w:r>
      <w:r w:rsidRPr="00120192">
        <w:rPr>
          <w:lang w:val="en-US"/>
        </w:rPr>
        <w:t xml:space="preserve"> </w:t>
      </w:r>
      <w:proofErr w:type="gramStart"/>
      <w:r w:rsidRPr="00120192">
        <w:rPr>
          <w:lang w:val="en-US"/>
        </w:rPr>
        <w:t>“Updated Preparedness and Response Framework for Influenza Pandemics.”</w:t>
      </w:r>
      <w:proofErr w:type="gramEnd"/>
      <w:r w:rsidRPr="00120192">
        <w:rPr>
          <w:lang w:val="en-US"/>
        </w:rPr>
        <w:t xml:space="preserve"> </w:t>
      </w:r>
      <w:proofErr w:type="gramStart"/>
      <w:r w:rsidRPr="00120192">
        <w:rPr>
          <w:lang w:val="en-US"/>
        </w:rPr>
        <w:t>Centers for Disease Control and Prevention.</w:t>
      </w:r>
      <w:proofErr w:type="gramEnd"/>
      <w:r w:rsidRPr="00120192">
        <w:rPr>
          <w:lang w:val="en-US"/>
        </w:rPr>
        <w:t xml:space="preserve"> </w:t>
      </w:r>
      <w:r w:rsidRPr="00120192">
        <w:rPr>
          <w:rStyle w:val="Strong"/>
          <w:b w:val="0"/>
          <w:lang w:val="en-US"/>
        </w:rPr>
        <w:t xml:space="preserve">26 de </w:t>
      </w:r>
      <w:proofErr w:type="spellStart"/>
      <w:r w:rsidRPr="00120192">
        <w:rPr>
          <w:rStyle w:val="Strong"/>
          <w:b w:val="0"/>
          <w:lang w:val="en-US"/>
        </w:rPr>
        <w:t>septiembre</w:t>
      </w:r>
      <w:proofErr w:type="spellEnd"/>
      <w:r w:rsidRPr="00120192">
        <w:rPr>
          <w:rStyle w:val="Strong"/>
          <w:b w:val="0"/>
          <w:lang w:val="en-US"/>
        </w:rPr>
        <w:t xml:space="preserve"> de 2014 / 63(RR06)</w:t>
      </w:r>
      <w:proofErr w:type="gramStart"/>
      <w:r w:rsidRPr="00120192">
        <w:rPr>
          <w:rStyle w:val="Strong"/>
          <w:b w:val="0"/>
          <w:lang w:val="en-US"/>
        </w:rPr>
        <w:t>;1</w:t>
      </w:r>
      <w:proofErr w:type="gramEnd"/>
      <w:r w:rsidRPr="00120192">
        <w:rPr>
          <w:rStyle w:val="Strong"/>
          <w:b w:val="0"/>
          <w:lang w:val="en-US"/>
        </w:rPr>
        <w:t>-9.</w:t>
      </w:r>
      <w:r w:rsidRPr="00120192">
        <w:rPr>
          <w:b/>
          <w:lang w:val="en-US"/>
        </w:rPr>
        <w:t xml:space="preserve"> </w:t>
      </w:r>
      <w:hyperlink r:id="rId1" w:history="1">
        <w:r w:rsidRPr="00120192">
          <w:rPr>
            <w:rStyle w:val="Hyperlink"/>
            <w:lang w:val="en-US"/>
          </w:rPr>
          <w:t>https://www.cdc.gov/mmwr/preview/mmwrhtml/rr6306a1.htm</w:t>
        </w:r>
      </w:hyperlink>
      <w:r w:rsidRPr="00120192">
        <w:rPr>
          <w:lang w:val="en-US"/>
        </w:rPr>
        <w:t xml:space="preserve"> </w:t>
      </w:r>
    </w:p>
  </w:footnote>
  <w:footnote w:id="6">
    <w:p w:rsidR="00120192" w:rsidRPr="00980C3E" w:rsidRDefault="00120192" w:rsidP="00980C3E">
      <w:pPr>
        <w:pStyle w:val="FootnoteText"/>
        <w:rPr>
          <w:noProof/>
        </w:rPr>
      </w:pPr>
      <w:r>
        <w:rPr>
          <w:rStyle w:val="FootnoteReference"/>
          <w:noProof/>
        </w:rPr>
        <w:footnoteRef/>
      </w:r>
      <w:r w:rsidRPr="00120192">
        <w:rPr>
          <w:lang w:val="en-US"/>
        </w:rPr>
        <w:t xml:space="preserve"> 1918 Pandemic Influenza: Three Waves. </w:t>
      </w:r>
      <w:proofErr w:type="gramStart"/>
      <w:r w:rsidRPr="00120192">
        <w:rPr>
          <w:lang w:val="en-US"/>
        </w:rPr>
        <w:t>“Second Wave Fall 1918”.</w:t>
      </w:r>
      <w:proofErr w:type="gramEnd"/>
      <w:r w:rsidRPr="00120192">
        <w:rPr>
          <w:lang w:val="en-US"/>
        </w:rPr>
        <w:t xml:space="preserve"> </w:t>
      </w:r>
      <w:hyperlink r:id="rId2" w:history="1">
        <w:r w:rsidRPr="00514BA5">
          <w:rPr>
            <w:rStyle w:val="Hyperlink"/>
          </w:rPr>
          <w:t>https://www.cdc.gov/flu/pandemic-resources/1918-commemoration/three-waves.htm</w:t>
        </w:r>
      </w:hyperlink>
      <w:r w:rsidRPr="00514BA5">
        <w:t xml:space="preserve">. </w:t>
      </w:r>
      <w:r>
        <w:t xml:space="preserve">Fecha de la última consulta: 4 de mayo de 2020. </w:t>
      </w:r>
    </w:p>
  </w:footnote>
  <w:footnote w:id="7">
    <w:p w:rsidR="00120192" w:rsidRPr="00980C3E" w:rsidRDefault="00120192" w:rsidP="00980C3E">
      <w:pPr>
        <w:pStyle w:val="FootnoteText"/>
        <w:rPr>
          <w:noProof/>
        </w:rPr>
      </w:pPr>
      <w:r>
        <w:rPr>
          <w:rStyle w:val="FootnoteReference"/>
          <w:noProof/>
        </w:rPr>
        <w:footnoteRef/>
      </w:r>
      <w:r>
        <w:t xml:space="preserve"> </w:t>
      </w:r>
      <w:proofErr w:type="spellStart"/>
      <w:r>
        <w:t>Americans</w:t>
      </w:r>
      <w:proofErr w:type="spellEnd"/>
      <w:r>
        <w:t xml:space="preserve"> </w:t>
      </w:r>
      <w:proofErr w:type="spellStart"/>
      <w:r>
        <w:t>with</w:t>
      </w:r>
      <w:proofErr w:type="spellEnd"/>
      <w:r>
        <w:t xml:space="preserve"> </w:t>
      </w:r>
      <w:proofErr w:type="spellStart"/>
      <w:r>
        <w:t>Disabilities</w:t>
      </w:r>
      <w:proofErr w:type="spellEnd"/>
      <w:r>
        <w:t xml:space="preserve"> </w:t>
      </w:r>
      <w:proofErr w:type="spellStart"/>
      <w:r>
        <w:t>Act</w:t>
      </w:r>
      <w:proofErr w:type="spellEnd"/>
      <w:r>
        <w:t>.</w:t>
      </w:r>
    </w:p>
  </w:footnote>
  <w:footnote w:id="8">
    <w:p w:rsidR="00120192" w:rsidRPr="00980C3E" w:rsidRDefault="00120192" w:rsidP="00980C3E">
      <w:pPr>
        <w:pStyle w:val="FootnoteText"/>
        <w:rPr>
          <w:noProof/>
        </w:rPr>
      </w:pPr>
      <w:r>
        <w:rPr>
          <w:rStyle w:val="FootnoteReference"/>
          <w:noProof/>
        </w:rPr>
        <w:footnoteRef/>
      </w:r>
      <w:r>
        <w:t xml:space="preserve"> </w:t>
      </w:r>
      <w:hyperlink r:id="rId3" w:history="1">
        <w:r>
          <w:rPr>
            <w:rStyle w:val="Hyperlink"/>
          </w:rPr>
          <w:t>https://www.eeoc.gov/facts/pandemic_flu.html</w:t>
        </w:r>
      </w:hyperlink>
      <w:r>
        <w:t xml:space="preserve"> </w:t>
      </w:r>
    </w:p>
  </w:footnote>
  <w:footnote w:id="9">
    <w:p w:rsidR="00120192" w:rsidRPr="00980C3E" w:rsidRDefault="00120192" w:rsidP="00980C3E">
      <w:pPr>
        <w:pStyle w:val="FootnoteText"/>
        <w:rPr>
          <w:noProof/>
        </w:rPr>
      </w:pPr>
      <w:r>
        <w:rPr>
          <w:rStyle w:val="FootnoteReference"/>
          <w:noProof/>
        </w:rPr>
        <w:footnoteRef/>
      </w:r>
      <w:r>
        <w:t xml:space="preserve"> </w:t>
      </w:r>
      <w:hyperlink r:id="rId4" w:history="1">
        <w:r>
          <w:rPr>
            <w:rStyle w:val="Hyperlink"/>
          </w:rPr>
          <w:t>https://www.osha.gov/pls/oshaweb/owadisp.show_document?p_id=12716&amp;p_table=STANDARDS</w:t>
        </w:r>
      </w:hyperlink>
    </w:p>
  </w:footnote>
  <w:footnote w:id="10">
    <w:p w:rsidR="00120192" w:rsidRPr="00980C3E" w:rsidRDefault="00120192" w:rsidP="00980C3E">
      <w:pPr>
        <w:pStyle w:val="FootnoteText"/>
        <w:rPr>
          <w:noProof/>
        </w:rPr>
      </w:pPr>
      <w:r>
        <w:rPr>
          <w:rStyle w:val="FootnoteReference"/>
          <w:noProof/>
        </w:rPr>
        <w:footnoteRef/>
      </w:r>
      <w:r>
        <w:t xml:space="preserve"> </w:t>
      </w:r>
      <w:hyperlink r:id="rId5" w:history="1">
        <w:r>
          <w:rPr>
            <w:rStyle w:val="Hyperlink"/>
          </w:rPr>
          <w:t>https://www.hhs.gov/hipaa/for-professionals/privacy/laws-regulations/index.html</w:t>
        </w:r>
      </w:hyperlink>
    </w:p>
  </w:footnote>
  <w:footnote w:id="11">
    <w:p w:rsidR="00120192" w:rsidRPr="00980C3E" w:rsidRDefault="00120192" w:rsidP="00980C3E">
      <w:pPr>
        <w:pStyle w:val="FootnoteText"/>
        <w:rPr>
          <w:noProof/>
        </w:rPr>
      </w:pPr>
      <w:r>
        <w:rPr>
          <w:rStyle w:val="FootnoteReference"/>
          <w:noProof/>
        </w:rPr>
        <w:footnoteRef/>
      </w:r>
      <w:r>
        <w:t xml:space="preserve"> </w:t>
      </w:r>
      <w:hyperlink r:id="rId6" w:history="1">
        <w:r>
          <w:rPr>
            <w:rStyle w:val="Hyperlink"/>
          </w:rPr>
          <w:t>https://cdn.ymaws.com/www.nena.org/resource/resmgr/covid/91103_Inovative_call_handlin.pdf</w:t>
        </w:r>
      </w:hyperlink>
    </w:p>
  </w:footnote>
  <w:footnote w:id="12">
    <w:p w:rsidR="00EC6E03" w:rsidRPr="00980C3E" w:rsidRDefault="00EC6E03" w:rsidP="00EC6E03">
      <w:pPr>
        <w:pStyle w:val="FootnoteText"/>
        <w:rPr>
          <w:noProof/>
        </w:rPr>
      </w:pPr>
      <w:r>
        <w:rPr>
          <w:rStyle w:val="FootnoteReference"/>
          <w:noProof/>
        </w:rPr>
        <w:footnoteRef/>
      </w:r>
      <w:r>
        <w:t xml:space="preserve"> </w:t>
      </w:r>
      <w:hyperlink r:id="rId7" w:history="1">
        <w:r>
          <w:rPr>
            <w:rStyle w:val="Hyperlink"/>
          </w:rPr>
          <w:t>https://www.cdc.gov/coronavirus/2019-ncov/prepare/cleaning-disinfection.html?CDC_AA_refVal=https%3A%2F%2Fwww.cdc.gov%2Fcoronavirus%2F2019-ncov%2Fcommunity%2Fhome%2Fcleaning-disinfection.html</w:t>
        </w:r>
      </w:hyperlink>
      <w:r>
        <w:t xml:space="preserve"> </w:t>
      </w:r>
    </w:p>
  </w:footnote>
  <w:footnote w:id="13">
    <w:p w:rsidR="00120192" w:rsidRPr="00980C3E" w:rsidRDefault="00120192" w:rsidP="00980C3E">
      <w:pPr>
        <w:pStyle w:val="FootnoteText"/>
        <w:rPr>
          <w:noProof/>
        </w:rPr>
      </w:pPr>
      <w:r>
        <w:rPr>
          <w:rStyle w:val="FootnoteReference"/>
          <w:noProof/>
        </w:rPr>
        <w:footnoteRef/>
      </w:r>
      <w:r w:rsidRPr="00120192">
        <w:rPr>
          <w:lang w:val="en-US"/>
        </w:rPr>
        <w:t xml:space="preserve"> </w:t>
      </w:r>
      <w:proofErr w:type="gramStart"/>
      <w:r w:rsidRPr="00120192">
        <w:rPr>
          <w:lang w:val="en-US"/>
        </w:rPr>
        <w:t xml:space="preserve">The Federal Healthcare Resilience Task Force EMS/Prehospital Team, </w:t>
      </w:r>
      <w:r w:rsidRPr="00120192">
        <w:rPr>
          <w:i/>
          <w:lang w:val="en-US"/>
        </w:rPr>
        <w:t>911 and EMS Algorithms.</w:t>
      </w:r>
      <w:proofErr w:type="gramEnd"/>
      <w:r w:rsidRPr="00120192">
        <w:rPr>
          <w:i/>
          <w:lang w:val="en-US"/>
        </w:rPr>
        <w:t xml:space="preserve"> </w:t>
      </w:r>
      <w:hyperlink r:id="rId8" w:history="1">
        <w:r>
          <w:rPr>
            <w:rStyle w:val="Hyperlink"/>
          </w:rPr>
          <w:t>https://www.ems.gov/pdf/Federal_Guidance_and_Resources/Operations/911_and_EMS_Algorithms.pdf</w:t>
        </w:r>
      </w:hyperlink>
      <w:r>
        <w:t xml:space="preserve">. </w:t>
      </w:r>
      <w:r>
        <w:rPr>
          <w:i/>
        </w:rPr>
        <w:t xml:space="preserve">Fecha de la última consulta: 4 de mayo de 2020.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192" w:rsidRDefault="001201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192" w:rsidRPr="00120192" w:rsidRDefault="00120192">
    <w:pPr>
      <w:pStyle w:val="Header"/>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192" w:rsidRDefault="001201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4D2A"/>
    <w:multiLevelType w:val="hybridMultilevel"/>
    <w:tmpl w:val="AD8417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03B7C0A"/>
    <w:multiLevelType w:val="hybridMultilevel"/>
    <w:tmpl w:val="29CCBB7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606915"/>
    <w:multiLevelType w:val="hybridMultilevel"/>
    <w:tmpl w:val="5656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0B1392"/>
    <w:multiLevelType w:val="hybridMultilevel"/>
    <w:tmpl w:val="83AE11D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nsid w:val="08171937"/>
    <w:multiLevelType w:val="hybridMultilevel"/>
    <w:tmpl w:val="292860F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9FE7E65"/>
    <w:multiLevelType w:val="hybridMultilevel"/>
    <w:tmpl w:val="9F061296"/>
    <w:lvl w:ilvl="0" w:tplc="0E70643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AD242D5"/>
    <w:multiLevelType w:val="hybridMultilevel"/>
    <w:tmpl w:val="6A9447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D470F06"/>
    <w:multiLevelType w:val="hybridMultilevel"/>
    <w:tmpl w:val="90C0BA6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nsid w:val="11674B55"/>
    <w:multiLevelType w:val="hybridMultilevel"/>
    <w:tmpl w:val="9D82ED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52616BF"/>
    <w:multiLevelType w:val="multilevel"/>
    <w:tmpl w:val="BAFAB038"/>
    <w:lvl w:ilvl="0">
      <w:start w:val="1"/>
      <w:numFmt w:val="bullet"/>
      <w:lvlText w:val=""/>
      <w:lvlJc w:val="left"/>
      <w:pPr>
        <w:ind w:left="360" w:hanging="36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720" w:hanging="360"/>
      </w:pPr>
      <w:rPr>
        <w:rFonts w:ascii="Symbol" w:hAnsi="Symbol" w:hint="default"/>
        <w:sz w:val="21"/>
      </w:rPr>
    </w:lvl>
    <w:lvl w:ilvl="2">
      <w:start w:val="1"/>
      <w:numFmt w:val="bullet"/>
      <w:lvlText w:val="▪"/>
      <w:lvlJc w:val="left"/>
      <w:pPr>
        <w:ind w:left="1080" w:hanging="360"/>
      </w:pPr>
      <w:rPr>
        <w:rFonts w:ascii="Arial" w:hAnsi="Arial" w:hint="default"/>
        <w:b w:val="0"/>
        <w:i w:val="0"/>
        <w:sz w:val="21"/>
      </w:rPr>
    </w:lvl>
    <w:lvl w:ilvl="3">
      <w:start w:val="1"/>
      <w:numFmt w:val="bullet"/>
      <w:lvlText w:val=""/>
      <w:lvlJc w:val="left"/>
      <w:pPr>
        <w:ind w:left="1440" w:hanging="360"/>
      </w:pPr>
      <w:rPr>
        <w:rFonts w:ascii="Symbol" w:hAnsi="Symbol" w:hint="default"/>
        <w:b w:val="0"/>
        <w:i w:val="0"/>
        <w:sz w:val="16"/>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nsid w:val="15E76891"/>
    <w:multiLevelType w:val="hybridMultilevel"/>
    <w:tmpl w:val="1B3E6A42"/>
    <w:lvl w:ilvl="0" w:tplc="04090001">
      <w:start w:val="1"/>
      <w:numFmt w:val="bullet"/>
      <w:lvlText w:val=""/>
      <w:lvlJc w:val="left"/>
      <w:pPr>
        <w:ind w:left="360" w:hanging="360"/>
      </w:pPr>
      <w:rPr>
        <w:rFonts w:ascii="Symbol" w:hAnsi="Symbol" w:hint="default"/>
      </w:rPr>
    </w:lvl>
    <w:lvl w:ilvl="1" w:tplc="C908B59E">
      <w:start w:val="1"/>
      <w:numFmt w:val="upp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B63555C"/>
    <w:multiLevelType w:val="hybridMultilevel"/>
    <w:tmpl w:val="5A2846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DA909BD"/>
    <w:multiLevelType w:val="hybridMultilevel"/>
    <w:tmpl w:val="8D988C78"/>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0C61544"/>
    <w:multiLevelType w:val="hybridMultilevel"/>
    <w:tmpl w:val="E80EE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C4F82"/>
    <w:multiLevelType w:val="hybridMultilevel"/>
    <w:tmpl w:val="D31C7A68"/>
    <w:lvl w:ilvl="0" w:tplc="0E70643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7EB17A9"/>
    <w:multiLevelType w:val="hybridMultilevel"/>
    <w:tmpl w:val="6E8C80C8"/>
    <w:lvl w:ilvl="0" w:tplc="04090001">
      <w:start w:val="1"/>
      <w:numFmt w:val="bullet"/>
      <w:lvlText w:val=""/>
      <w:lvlJc w:val="left"/>
      <w:pPr>
        <w:ind w:left="360" w:hanging="360"/>
      </w:pPr>
      <w:rPr>
        <w:rFonts w:ascii="Symbol" w:hAnsi="Symbol" w:cs="Symbol" w:hint="default"/>
      </w:rPr>
    </w:lvl>
    <w:lvl w:ilvl="1" w:tplc="0E70643C">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A2F76D4"/>
    <w:multiLevelType w:val="hybridMultilevel"/>
    <w:tmpl w:val="1B5840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A7C071F"/>
    <w:multiLevelType w:val="hybridMultilevel"/>
    <w:tmpl w:val="9E1C125E"/>
    <w:lvl w:ilvl="0" w:tplc="0E70643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E63564A"/>
    <w:multiLevelType w:val="hybridMultilevel"/>
    <w:tmpl w:val="96B08952"/>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E761C41"/>
    <w:multiLevelType w:val="hybridMultilevel"/>
    <w:tmpl w:val="0F66377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F686C5F"/>
    <w:multiLevelType w:val="hybridMultilevel"/>
    <w:tmpl w:val="8EEC5B94"/>
    <w:lvl w:ilvl="0" w:tplc="0E70643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05F6564"/>
    <w:multiLevelType w:val="hybridMultilevel"/>
    <w:tmpl w:val="D1A2E3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C833A50"/>
    <w:multiLevelType w:val="hybridMultilevel"/>
    <w:tmpl w:val="B636CDB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CDB5434"/>
    <w:multiLevelType w:val="hybridMultilevel"/>
    <w:tmpl w:val="509A76EA"/>
    <w:lvl w:ilvl="0" w:tplc="0E70643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26157A4"/>
    <w:multiLevelType w:val="hybridMultilevel"/>
    <w:tmpl w:val="BA18CF6E"/>
    <w:lvl w:ilvl="0" w:tplc="0E70643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4787519"/>
    <w:multiLevelType w:val="hybridMultilevel"/>
    <w:tmpl w:val="344A76DA"/>
    <w:lvl w:ilvl="0" w:tplc="0E70643C">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6">
    <w:nsid w:val="46F60D5D"/>
    <w:multiLevelType w:val="multilevel"/>
    <w:tmpl w:val="69FECE22"/>
    <w:lvl w:ilvl="0">
      <w:start w:val="1"/>
      <w:numFmt w:val="upperRoman"/>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nsid w:val="4B6D5349"/>
    <w:multiLevelType w:val="hybridMultilevel"/>
    <w:tmpl w:val="333E3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D7722EC"/>
    <w:multiLevelType w:val="hybridMultilevel"/>
    <w:tmpl w:val="5EA8A908"/>
    <w:lvl w:ilvl="0" w:tplc="0E70643C">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5822D0F"/>
    <w:multiLevelType w:val="hybridMultilevel"/>
    <w:tmpl w:val="BAD8A1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59450394"/>
    <w:multiLevelType w:val="hybridMultilevel"/>
    <w:tmpl w:val="D3DE878E"/>
    <w:lvl w:ilvl="0" w:tplc="BB4E55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D816F9B"/>
    <w:multiLevelType w:val="hybridMultilevel"/>
    <w:tmpl w:val="CC56B592"/>
    <w:lvl w:ilvl="0" w:tplc="0E70643C">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DFF42BA"/>
    <w:multiLevelType w:val="hybridMultilevel"/>
    <w:tmpl w:val="16A063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F1F7916"/>
    <w:multiLevelType w:val="hybridMultilevel"/>
    <w:tmpl w:val="2724D4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60061137"/>
    <w:multiLevelType w:val="hybridMultilevel"/>
    <w:tmpl w:val="454620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02C311F"/>
    <w:multiLevelType w:val="hybridMultilevel"/>
    <w:tmpl w:val="6DFE4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62872D80"/>
    <w:multiLevelType w:val="hybridMultilevel"/>
    <w:tmpl w:val="685CF87A"/>
    <w:lvl w:ilvl="0" w:tplc="0E70643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5276091"/>
    <w:multiLevelType w:val="hybridMultilevel"/>
    <w:tmpl w:val="54604514"/>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65344EB6"/>
    <w:multiLevelType w:val="hybridMultilevel"/>
    <w:tmpl w:val="CEB44B4A"/>
    <w:lvl w:ilvl="0" w:tplc="0E70643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65E718F6"/>
    <w:multiLevelType w:val="multilevel"/>
    <w:tmpl w:val="D8E2D29E"/>
    <w:lvl w:ilvl="0">
      <w:start w:val="1"/>
      <w:numFmt w:val="bullet"/>
      <w:lvlText w:val=""/>
      <w:lvlJc w:val="left"/>
      <w:pPr>
        <w:ind w:left="360" w:hanging="36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pStyle w:val="MCPBullet2"/>
      <w:lvlText w:val=""/>
      <w:lvlJc w:val="left"/>
      <w:pPr>
        <w:ind w:left="720" w:hanging="360"/>
      </w:pPr>
      <w:rPr>
        <w:rFonts w:ascii="Symbol" w:hAnsi="Symbol" w:hint="default"/>
        <w:sz w:val="21"/>
      </w:rPr>
    </w:lvl>
    <w:lvl w:ilvl="2">
      <w:start w:val="1"/>
      <w:numFmt w:val="bullet"/>
      <w:pStyle w:val="MCPBullet3"/>
      <w:lvlText w:val="▪"/>
      <w:lvlJc w:val="left"/>
      <w:pPr>
        <w:ind w:left="1080" w:hanging="360"/>
      </w:pPr>
      <w:rPr>
        <w:rFonts w:ascii="Arial" w:hAnsi="Arial" w:hint="default"/>
        <w:b w:val="0"/>
        <w:i w:val="0"/>
        <w:sz w:val="21"/>
      </w:rPr>
    </w:lvl>
    <w:lvl w:ilvl="3">
      <w:start w:val="1"/>
      <w:numFmt w:val="bullet"/>
      <w:pStyle w:val="MCPBullet4"/>
      <w:lvlText w:val=""/>
      <w:lvlJc w:val="left"/>
      <w:pPr>
        <w:ind w:left="1440" w:hanging="360"/>
      </w:pPr>
      <w:rPr>
        <w:rFonts w:ascii="Symbol" w:hAnsi="Symbol" w:hint="default"/>
        <w:b w:val="0"/>
        <w:i w:val="0"/>
        <w:sz w:val="16"/>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nsid w:val="681E05B5"/>
    <w:multiLevelType w:val="hybridMultilevel"/>
    <w:tmpl w:val="59E63B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68886E0C"/>
    <w:multiLevelType w:val="hybridMultilevel"/>
    <w:tmpl w:val="362A65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699D07E2"/>
    <w:multiLevelType w:val="hybridMultilevel"/>
    <w:tmpl w:val="2BF6FF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6C9B35CE"/>
    <w:multiLevelType w:val="hybridMultilevel"/>
    <w:tmpl w:val="A432844C"/>
    <w:lvl w:ilvl="0" w:tplc="0E70643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03F6DC0"/>
    <w:multiLevelType w:val="hybridMultilevel"/>
    <w:tmpl w:val="989653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70BF320C"/>
    <w:multiLevelType w:val="hybridMultilevel"/>
    <w:tmpl w:val="79123BC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73525971"/>
    <w:multiLevelType w:val="hybridMultilevel"/>
    <w:tmpl w:val="DF763DC4"/>
    <w:lvl w:ilvl="0" w:tplc="04090001">
      <w:start w:val="1"/>
      <w:numFmt w:val="bullet"/>
      <w:lvlText w:val=""/>
      <w:lvlJc w:val="left"/>
      <w:pPr>
        <w:ind w:left="360" w:hanging="360"/>
      </w:pPr>
      <w:rPr>
        <w:rFonts w:ascii="Symbol" w:hAnsi="Symbol" w:hint="default"/>
      </w:rPr>
    </w:lvl>
    <w:lvl w:ilvl="1" w:tplc="0E70643C">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75DB1A5E"/>
    <w:multiLevelType w:val="hybridMultilevel"/>
    <w:tmpl w:val="5448D9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7CEA75EC"/>
    <w:multiLevelType w:val="hybridMultilevel"/>
    <w:tmpl w:val="6B145E2E"/>
    <w:lvl w:ilvl="0" w:tplc="0E70643C">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7D794FC1"/>
    <w:multiLevelType w:val="hybridMultilevel"/>
    <w:tmpl w:val="BF0226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7DE75DE1"/>
    <w:multiLevelType w:val="hybridMultilevel"/>
    <w:tmpl w:val="149618C8"/>
    <w:lvl w:ilvl="0" w:tplc="04090001">
      <w:start w:val="1"/>
      <w:numFmt w:val="bullet"/>
      <w:lvlText w:val=""/>
      <w:lvlJc w:val="left"/>
      <w:pPr>
        <w:ind w:left="360" w:hanging="360"/>
      </w:pPr>
      <w:rPr>
        <w:rFonts w:ascii="Symbol" w:hAnsi="Symbol" w:cs="Symbol" w:hint="default"/>
      </w:rPr>
    </w:lvl>
    <w:lvl w:ilvl="1" w:tplc="0E70643C">
      <w:start w:val="1"/>
      <w:numFmt w:val="bullet"/>
      <w:lvlText w:val=""/>
      <w:lvlJc w:val="left"/>
      <w:pPr>
        <w:ind w:left="72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7E0025E1"/>
    <w:multiLevelType w:val="hybridMultilevel"/>
    <w:tmpl w:val="DF6853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7F331ED9"/>
    <w:multiLevelType w:val="multilevel"/>
    <w:tmpl w:val="5504CA24"/>
    <w:lvl w:ilvl="0">
      <w:start w:val="1"/>
      <w:numFmt w:val="decimal"/>
      <w:pStyle w:val="MCPBullet1"/>
      <w:lvlText w:val="%1."/>
      <w:lvlJc w:val="left"/>
      <w:pPr>
        <w:tabs>
          <w:tab w:val="num" w:pos="720"/>
        </w:tabs>
        <w:ind w:left="720" w:hanging="720"/>
      </w:pPr>
    </w:lvl>
    <w:lvl w:ilvl="1">
      <w:start w:val="1"/>
      <w:numFmt w:val="decimal"/>
      <w:pStyle w:val="Subtitle"/>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6"/>
  </w:num>
  <w:num w:numId="2">
    <w:abstractNumId w:val="39"/>
  </w:num>
  <w:num w:numId="3">
    <w:abstractNumId w:val="52"/>
  </w:num>
  <w:num w:numId="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6"/>
  </w:num>
  <w:num w:numId="6">
    <w:abstractNumId w:val="41"/>
  </w:num>
  <w:num w:numId="7">
    <w:abstractNumId w:val="11"/>
  </w:num>
  <w:num w:numId="8">
    <w:abstractNumId w:val="42"/>
  </w:num>
  <w:num w:numId="9">
    <w:abstractNumId w:val="21"/>
  </w:num>
  <w:num w:numId="10">
    <w:abstractNumId w:val="10"/>
  </w:num>
  <w:num w:numId="11">
    <w:abstractNumId w:val="18"/>
  </w:num>
  <w:num w:numId="12">
    <w:abstractNumId w:val="27"/>
  </w:num>
  <w:num w:numId="13">
    <w:abstractNumId w:val="7"/>
  </w:num>
  <w:num w:numId="14">
    <w:abstractNumId w:val="25"/>
  </w:num>
  <w:num w:numId="15">
    <w:abstractNumId w:val="3"/>
  </w:num>
  <w:num w:numId="16">
    <w:abstractNumId w:val="19"/>
  </w:num>
  <w:num w:numId="17">
    <w:abstractNumId w:val="0"/>
  </w:num>
  <w:num w:numId="18">
    <w:abstractNumId w:val="50"/>
  </w:num>
  <w:num w:numId="19">
    <w:abstractNumId w:val="48"/>
  </w:num>
  <w:num w:numId="20">
    <w:abstractNumId w:val="5"/>
  </w:num>
  <w:num w:numId="21">
    <w:abstractNumId w:val="16"/>
  </w:num>
  <w:num w:numId="22">
    <w:abstractNumId w:val="44"/>
  </w:num>
  <w:num w:numId="23">
    <w:abstractNumId w:val="31"/>
  </w:num>
  <w:num w:numId="24">
    <w:abstractNumId w:val="37"/>
  </w:num>
  <w:num w:numId="25">
    <w:abstractNumId w:val="34"/>
  </w:num>
  <w:num w:numId="26">
    <w:abstractNumId w:val="6"/>
  </w:num>
  <w:num w:numId="27">
    <w:abstractNumId w:val="47"/>
  </w:num>
  <w:num w:numId="28">
    <w:abstractNumId w:val="22"/>
  </w:num>
  <w:num w:numId="29">
    <w:abstractNumId w:val="20"/>
  </w:num>
  <w:num w:numId="30">
    <w:abstractNumId w:val="17"/>
  </w:num>
  <w:num w:numId="31">
    <w:abstractNumId w:val="43"/>
  </w:num>
  <w:num w:numId="32">
    <w:abstractNumId w:val="36"/>
  </w:num>
  <w:num w:numId="33">
    <w:abstractNumId w:val="23"/>
  </w:num>
  <w:num w:numId="34">
    <w:abstractNumId w:val="38"/>
  </w:num>
  <w:num w:numId="35">
    <w:abstractNumId w:val="24"/>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num>
  <w:num w:numId="38">
    <w:abstractNumId w:val="1"/>
  </w:num>
  <w:num w:numId="39">
    <w:abstractNumId w:val="8"/>
  </w:num>
  <w:num w:numId="40">
    <w:abstractNumId w:val="28"/>
  </w:num>
  <w:num w:numId="41">
    <w:abstractNumId w:val="13"/>
  </w:num>
  <w:num w:numId="42">
    <w:abstractNumId w:val="33"/>
  </w:num>
  <w:num w:numId="43">
    <w:abstractNumId w:val="15"/>
  </w:num>
  <w:num w:numId="44">
    <w:abstractNumId w:val="14"/>
  </w:num>
  <w:num w:numId="45">
    <w:abstractNumId w:val="40"/>
  </w:num>
  <w:num w:numId="46">
    <w:abstractNumId w:val="49"/>
  </w:num>
  <w:num w:numId="47">
    <w:abstractNumId w:val="4"/>
  </w:num>
  <w:num w:numId="48">
    <w:abstractNumId w:val="9"/>
  </w:num>
  <w:num w:numId="49">
    <w:abstractNumId w:val="2"/>
  </w:num>
  <w:num w:numId="50">
    <w:abstractNumId w:val="51"/>
  </w:num>
  <w:num w:numId="51">
    <w:abstractNumId w:val="45"/>
  </w:num>
  <w:num w:numId="52">
    <w:abstractNumId w:val="12"/>
  </w:num>
  <w:num w:numId="53">
    <w:abstractNumId w:val="39"/>
  </w:num>
  <w:num w:numId="54">
    <w:abstractNumId w:val="39"/>
  </w:num>
  <w:num w:numId="55">
    <w:abstractNumId w:val="39"/>
  </w:num>
  <w:num w:numId="56">
    <w:abstractNumId w:val="32"/>
  </w:num>
  <w:num w:numId="57">
    <w:abstractNumId w:val="39"/>
  </w:num>
  <w:num w:numId="58">
    <w:abstractNumId w:val="39"/>
  </w:num>
  <w:num w:numId="59">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proofState w:spelling="clean" w:grammar="clean"/>
  <w:doNotTrackFormatting/>
  <w:defaultTabStop w:val="720"/>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0FE07FDE-664C-45E8-A933-93A7F16635B7}"/>
    <w:docVar w:name="dgnword-eventsink" w:val="2308951127696"/>
  </w:docVars>
  <w:rsids>
    <w:rsidRoot w:val="009B08C2"/>
    <w:rsid w:val="00000502"/>
    <w:rsid w:val="000008EC"/>
    <w:rsid w:val="00000D9A"/>
    <w:rsid w:val="00003D07"/>
    <w:rsid w:val="000043FD"/>
    <w:rsid w:val="00007356"/>
    <w:rsid w:val="00017CC3"/>
    <w:rsid w:val="0002090B"/>
    <w:rsid w:val="00022331"/>
    <w:rsid w:val="00023D0E"/>
    <w:rsid w:val="00024E0D"/>
    <w:rsid w:val="00034558"/>
    <w:rsid w:val="000408F4"/>
    <w:rsid w:val="0004519F"/>
    <w:rsid w:val="0004520F"/>
    <w:rsid w:val="00055F17"/>
    <w:rsid w:val="0006250E"/>
    <w:rsid w:val="00062E55"/>
    <w:rsid w:val="00063C50"/>
    <w:rsid w:val="00067B4B"/>
    <w:rsid w:val="00072435"/>
    <w:rsid w:val="00074A10"/>
    <w:rsid w:val="00075507"/>
    <w:rsid w:val="0008149D"/>
    <w:rsid w:val="00082A1A"/>
    <w:rsid w:val="000833C9"/>
    <w:rsid w:val="0008548B"/>
    <w:rsid w:val="000854C8"/>
    <w:rsid w:val="000917BD"/>
    <w:rsid w:val="00095074"/>
    <w:rsid w:val="000968F2"/>
    <w:rsid w:val="00096D57"/>
    <w:rsid w:val="000A1C08"/>
    <w:rsid w:val="000B1CBD"/>
    <w:rsid w:val="000B3541"/>
    <w:rsid w:val="000B3C13"/>
    <w:rsid w:val="000C6F89"/>
    <w:rsid w:val="000C7A34"/>
    <w:rsid w:val="000D48C6"/>
    <w:rsid w:val="000E0333"/>
    <w:rsid w:val="000E4000"/>
    <w:rsid w:val="000E4A48"/>
    <w:rsid w:val="000E656D"/>
    <w:rsid w:val="000F11F6"/>
    <w:rsid w:val="000F403D"/>
    <w:rsid w:val="001010D0"/>
    <w:rsid w:val="0010164D"/>
    <w:rsid w:val="0010173B"/>
    <w:rsid w:val="00102AA2"/>
    <w:rsid w:val="00104E5D"/>
    <w:rsid w:val="00105A8F"/>
    <w:rsid w:val="00105AC6"/>
    <w:rsid w:val="00120192"/>
    <w:rsid w:val="00126720"/>
    <w:rsid w:val="0013165A"/>
    <w:rsid w:val="001437F7"/>
    <w:rsid w:val="001447B0"/>
    <w:rsid w:val="00146C44"/>
    <w:rsid w:val="00152715"/>
    <w:rsid w:val="00154995"/>
    <w:rsid w:val="00156092"/>
    <w:rsid w:val="0016025E"/>
    <w:rsid w:val="00161891"/>
    <w:rsid w:val="00161C04"/>
    <w:rsid w:val="00161CAD"/>
    <w:rsid w:val="00162F1F"/>
    <w:rsid w:val="00163DA0"/>
    <w:rsid w:val="00166FE7"/>
    <w:rsid w:val="00167AF8"/>
    <w:rsid w:val="00167B9A"/>
    <w:rsid w:val="00170857"/>
    <w:rsid w:val="00170ED1"/>
    <w:rsid w:val="001710B5"/>
    <w:rsid w:val="00173782"/>
    <w:rsid w:val="001751A1"/>
    <w:rsid w:val="00191318"/>
    <w:rsid w:val="001954E0"/>
    <w:rsid w:val="001A1906"/>
    <w:rsid w:val="001A248E"/>
    <w:rsid w:val="001A496F"/>
    <w:rsid w:val="001B0133"/>
    <w:rsid w:val="001B25A6"/>
    <w:rsid w:val="001B69E8"/>
    <w:rsid w:val="001C28D1"/>
    <w:rsid w:val="001C517E"/>
    <w:rsid w:val="001C55B4"/>
    <w:rsid w:val="001C6511"/>
    <w:rsid w:val="001C6847"/>
    <w:rsid w:val="001D290E"/>
    <w:rsid w:val="001E1199"/>
    <w:rsid w:val="001E1701"/>
    <w:rsid w:val="001E3581"/>
    <w:rsid w:val="001E39ED"/>
    <w:rsid w:val="001E6F6B"/>
    <w:rsid w:val="001F2690"/>
    <w:rsid w:val="001F3CC5"/>
    <w:rsid w:val="001F4FA6"/>
    <w:rsid w:val="001F71D5"/>
    <w:rsid w:val="00207A69"/>
    <w:rsid w:val="00211352"/>
    <w:rsid w:val="0021172F"/>
    <w:rsid w:val="00212B6E"/>
    <w:rsid w:val="00213824"/>
    <w:rsid w:val="00220C48"/>
    <w:rsid w:val="00227D17"/>
    <w:rsid w:val="00230C83"/>
    <w:rsid w:val="002313E6"/>
    <w:rsid w:val="00234675"/>
    <w:rsid w:val="002359D2"/>
    <w:rsid w:val="00236D93"/>
    <w:rsid w:val="002402EA"/>
    <w:rsid w:val="002418DC"/>
    <w:rsid w:val="00247483"/>
    <w:rsid w:val="00252F2A"/>
    <w:rsid w:val="00257EF7"/>
    <w:rsid w:val="0026030E"/>
    <w:rsid w:val="00261C44"/>
    <w:rsid w:val="00275313"/>
    <w:rsid w:val="00276260"/>
    <w:rsid w:val="00281782"/>
    <w:rsid w:val="00282C70"/>
    <w:rsid w:val="0028396E"/>
    <w:rsid w:val="0029096E"/>
    <w:rsid w:val="00291E23"/>
    <w:rsid w:val="0029629E"/>
    <w:rsid w:val="00296AAB"/>
    <w:rsid w:val="002A2F6D"/>
    <w:rsid w:val="002A39EB"/>
    <w:rsid w:val="002A4EB3"/>
    <w:rsid w:val="002A5798"/>
    <w:rsid w:val="002A6A40"/>
    <w:rsid w:val="002B338B"/>
    <w:rsid w:val="002B33E0"/>
    <w:rsid w:val="002B3B37"/>
    <w:rsid w:val="002C3276"/>
    <w:rsid w:val="002C3F28"/>
    <w:rsid w:val="002C7EA2"/>
    <w:rsid w:val="002D321D"/>
    <w:rsid w:val="002D4317"/>
    <w:rsid w:val="002E0E1D"/>
    <w:rsid w:val="002E18F5"/>
    <w:rsid w:val="002E1AA2"/>
    <w:rsid w:val="002E209F"/>
    <w:rsid w:val="002E4894"/>
    <w:rsid w:val="002E505E"/>
    <w:rsid w:val="002F1B4F"/>
    <w:rsid w:val="002F45BA"/>
    <w:rsid w:val="002F5121"/>
    <w:rsid w:val="002F542A"/>
    <w:rsid w:val="002F7A2C"/>
    <w:rsid w:val="003017E4"/>
    <w:rsid w:val="00302B5F"/>
    <w:rsid w:val="00303720"/>
    <w:rsid w:val="0030463C"/>
    <w:rsid w:val="00311F83"/>
    <w:rsid w:val="00312EC9"/>
    <w:rsid w:val="003146CF"/>
    <w:rsid w:val="00317621"/>
    <w:rsid w:val="00324EC4"/>
    <w:rsid w:val="003262DC"/>
    <w:rsid w:val="003272A0"/>
    <w:rsid w:val="00327B24"/>
    <w:rsid w:val="00330655"/>
    <w:rsid w:val="00332398"/>
    <w:rsid w:val="00334EE5"/>
    <w:rsid w:val="00343332"/>
    <w:rsid w:val="0034618B"/>
    <w:rsid w:val="003509D8"/>
    <w:rsid w:val="0035106A"/>
    <w:rsid w:val="003544DD"/>
    <w:rsid w:val="003554AE"/>
    <w:rsid w:val="00360DBA"/>
    <w:rsid w:val="0036181E"/>
    <w:rsid w:val="003720A7"/>
    <w:rsid w:val="00374817"/>
    <w:rsid w:val="00374E0E"/>
    <w:rsid w:val="00375BEB"/>
    <w:rsid w:val="00376EF8"/>
    <w:rsid w:val="00377111"/>
    <w:rsid w:val="00385B10"/>
    <w:rsid w:val="00386BBA"/>
    <w:rsid w:val="003A08DE"/>
    <w:rsid w:val="003A166D"/>
    <w:rsid w:val="003A1906"/>
    <w:rsid w:val="003A1932"/>
    <w:rsid w:val="003B395D"/>
    <w:rsid w:val="003B687A"/>
    <w:rsid w:val="003B6932"/>
    <w:rsid w:val="003C40FA"/>
    <w:rsid w:val="003D11F2"/>
    <w:rsid w:val="003D7748"/>
    <w:rsid w:val="003D7B2B"/>
    <w:rsid w:val="003E0181"/>
    <w:rsid w:val="003F3E32"/>
    <w:rsid w:val="003F6D4D"/>
    <w:rsid w:val="00400CCA"/>
    <w:rsid w:val="00400EE3"/>
    <w:rsid w:val="00403753"/>
    <w:rsid w:val="00407402"/>
    <w:rsid w:val="00410ADC"/>
    <w:rsid w:val="00416FFD"/>
    <w:rsid w:val="00420717"/>
    <w:rsid w:val="0042099E"/>
    <w:rsid w:val="00423A01"/>
    <w:rsid w:val="00425E14"/>
    <w:rsid w:val="00426767"/>
    <w:rsid w:val="00427E0E"/>
    <w:rsid w:val="004315DF"/>
    <w:rsid w:val="00432A58"/>
    <w:rsid w:val="00434B98"/>
    <w:rsid w:val="00434B9C"/>
    <w:rsid w:val="00437E57"/>
    <w:rsid w:val="00441B88"/>
    <w:rsid w:val="00443105"/>
    <w:rsid w:val="004447EB"/>
    <w:rsid w:val="00445199"/>
    <w:rsid w:val="00450188"/>
    <w:rsid w:val="00455BE2"/>
    <w:rsid w:val="00462EA2"/>
    <w:rsid w:val="00463EFE"/>
    <w:rsid w:val="00465405"/>
    <w:rsid w:val="00472E9E"/>
    <w:rsid w:val="00484C13"/>
    <w:rsid w:val="00485D00"/>
    <w:rsid w:val="0049569B"/>
    <w:rsid w:val="00497CDA"/>
    <w:rsid w:val="004B1BF2"/>
    <w:rsid w:val="004B2F24"/>
    <w:rsid w:val="004B7FD4"/>
    <w:rsid w:val="004C38BF"/>
    <w:rsid w:val="004C3EEC"/>
    <w:rsid w:val="004C3FEB"/>
    <w:rsid w:val="004C431A"/>
    <w:rsid w:val="004C4963"/>
    <w:rsid w:val="004D5286"/>
    <w:rsid w:val="004E41FD"/>
    <w:rsid w:val="004E7930"/>
    <w:rsid w:val="004F0531"/>
    <w:rsid w:val="004F5224"/>
    <w:rsid w:val="004F5A21"/>
    <w:rsid w:val="00500019"/>
    <w:rsid w:val="0050396A"/>
    <w:rsid w:val="00506720"/>
    <w:rsid w:val="00507E7D"/>
    <w:rsid w:val="005122B4"/>
    <w:rsid w:val="005123F7"/>
    <w:rsid w:val="00512854"/>
    <w:rsid w:val="00514BA5"/>
    <w:rsid w:val="00520A73"/>
    <w:rsid w:val="00524415"/>
    <w:rsid w:val="0052459B"/>
    <w:rsid w:val="005307CA"/>
    <w:rsid w:val="005334B0"/>
    <w:rsid w:val="00535E79"/>
    <w:rsid w:val="00536111"/>
    <w:rsid w:val="00545526"/>
    <w:rsid w:val="00551FFB"/>
    <w:rsid w:val="00553E3C"/>
    <w:rsid w:val="00560545"/>
    <w:rsid w:val="005720C4"/>
    <w:rsid w:val="00577DB4"/>
    <w:rsid w:val="005843AA"/>
    <w:rsid w:val="0058516D"/>
    <w:rsid w:val="00587AF3"/>
    <w:rsid w:val="0059547C"/>
    <w:rsid w:val="005A0246"/>
    <w:rsid w:val="005A0F72"/>
    <w:rsid w:val="005A349A"/>
    <w:rsid w:val="005A3C8A"/>
    <w:rsid w:val="005B4555"/>
    <w:rsid w:val="005B4576"/>
    <w:rsid w:val="005B7D98"/>
    <w:rsid w:val="005C317D"/>
    <w:rsid w:val="005E2045"/>
    <w:rsid w:val="005E5DE7"/>
    <w:rsid w:val="005E76C3"/>
    <w:rsid w:val="005F5857"/>
    <w:rsid w:val="005F72D1"/>
    <w:rsid w:val="006006DA"/>
    <w:rsid w:val="00605E7A"/>
    <w:rsid w:val="00606375"/>
    <w:rsid w:val="00606C97"/>
    <w:rsid w:val="00613CFD"/>
    <w:rsid w:val="00620149"/>
    <w:rsid w:val="00626935"/>
    <w:rsid w:val="00627BBF"/>
    <w:rsid w:val="00634C2D"/>
    <w:rsid w:val="0064117E"/>
    <w:rsid w:val="00644736"/>
    <w:rsid w:val="00644BB9"/>
    <w:rsid w:val="00652294"/>
    <w:rsid w:val="006530A9"/>
    <w:rsid w:val="00654186"/>
    <w:rsid w:val="00656182"/>
    <w:rsid w:val="0066141D"/>
    <w:rsid w:val="00667631"/>
    <w:rsid w:val="0066772A"/>
    <w:rsid w:val="00671DB5"/>
    <w:rsid w:val="0068359F"/>
    <w:rsid w:val="00695515"/>
    <w:rsid w:val="006964E1"/>
    <w:rsid w:val="00696576"/>
    <w:rsid w:val="006A43DE"/>
    <w:rsid w:val="006A759D"/>
    <w:rsid w:val="006B239F"/>
    <w:rsid w:val="006B3968"/>
    <w:rsid w:val="006B6DE3"/>
    <w:rsid w:val="006C6051"/>
    <w:rsid w:val="006D543D"/>
    <w:rsid w:val="006D608D"/>
    <w:rsid w:val="006E50E2"/>
    <w:rsid w:val="006F25B1"/>
    <w:rsid w:val="006F31C6"/>
    <w:rsid w:val="006F63F5"/>
    <w:rsid w:val="0070127F"/>
    <w:rsid w:val="007012C2"/>
    <w:rsid w:val="0071201E"/>
    <w:rsid w:val="00712D63"/>
    <w:rsid w:val="007210E3"/>
    <w:rsid w:val="007227C6"/>
    <w:rsid w:val="007308D9"/>
    <w:rsid w:val="007328BB"/>
    <w:rsid w:val="00733339"/>
    <w:rsid w:val="007350DA"/>
    <w:rsid w:val="00737DF5"/>
    <w:rsid w:val="00741560"/>
    <w:rsid w:val="0074251C"/>
    <w:rsid w:val="007447E1"/>
    <w:rsid w:val="0074660F"/>
    <w:rsid w:val="00755BDF"/>
    <w:rsid w:val="007566B9"/>
    <w:rsid w:val="007569A7"/>
    <w:rsid w:val="007571B6"/>
    <w:rsid w:val="00762EEA"/>
    <w:rsid w:val="0076763E"/>
    <w:rsid w:val="0077284F"/>
    <w:rsid w:val="007779D7"/>
    <w:rsid w:val="007827D5"/>
    <w:rsid w:val="00783BF0"/>
    <w:rsid w:val="00785CF2"/>
    <w:rsid w:val="00791A90"/>
    <w:rsid w:val="00792F77"/>
    <w:rsid w:val="007967F9"/>
    <w:rsid w:val="007A038F"/>
    <w:rsid w:val="007A57BA"/>
    <w:rsid w:val="007B1969"/>
    <w:rsid w:val="007B64E0"/>
    <w:rsid w:val="007C0AD9"/>
    <w:rsid w:val="007C2983"/>
    <w:rsid w:val="007C440A"/>
    <w:rsid w:val="007C7CA9"/>
    <w:rsid w:val="007D1E99"/>
    <w:rsid w:val="007D313B"/>
    <w:rsid w:val="007D3FBD"/>
    <w:rsid w:val="007D4638"/>
    <w:rsid w:val="007D6327"/>
    <w:rsid w:val="007E02B0"/>
    <w:rsid w:val="007E0FB7"/>
    <w:rsid w:val="007E1086"/>
    <w:rsid w:val="007E1AD4"/>
    <w:rsid w:val="007F11DD"/>
    <w:rsid w:val="00804774"/>
    <w:rsid w:val="00805334"/>
    <w:rsid w:val="0081253D"/>
    <w:rsid w:val="00824D86"/>
    <w:rsid w:val="008269C2"/>
    <w:rsid w:val="00833A7D"/>
    <w:rsid w:val="00835791"/>
    <w:rsid w:val="0084280A"/>
    <w:rsid w:val="00847BD3"/>
    <w:rsid w:val="008506A9"/>
    <w:rsid w:val="00850CDD"/>
    <w:rsid w:val="00850E70"/>
    <w:rsid w:val="00852AEF"/>
    <w:rsid w:val="0085767B"/>
    <w:rsid w:val="0086354D"/>
    <w:rsid w:val="00880854"/>
    <w:rsid w:val="00880AAD"/>
    <w:rsid w:val="00883183"/>
    <w:rsid w:val="00886274"/>
    <w:rsid w:val="0088652A"/>
    <w:rsid w:val="008876B3"/>
    <w:rsid w:val="0089301A"/>
    <w:rsid w:val="00894FDC"/>
    <w:rsid w:val="008A54DB"/>
    <w:rsid w:val="008B08F8"/>
    <w:rsid w:val="008B2DD7"/>
    <w:rsid w:val="008B3A85"/>
    <w:rsid w:val="008C1825"/>
    <w:rsid w:val="008D0BB8"/>
    <w:rsid w:val="008D2237"/>
    <w:rsid w:val="008D4812"/>
    <w:rsid w:val="008D4D1E"/>
    <w:rsid w:val="008D4F47"/>
    <w:rsid w:val="008D6F55"/>
    <w:rsid w:val="008D79B1"/>
    <w:rsid w:val="008E755F"/>
    <w:rsid w:val="008E7A38"/>
    <w:rsid w:val="008F00E1"/>
    <w:rsid w:val="008F2EA7"/>
    <w:rsid w:val="008F3FAE"/>
    <w:rsid w:val="008F48CB"/>
    <w:rsid w:val="009063AC"/>
    <w:rsid w:val="009104F3"/>
    <w:rsid w:val="00913742"/>
    <w:rsid w:val="00913756"/>
    <w:rsid w:val="009252BE"/>
    <w:rsid w:val="009253A2"/>
    <w:rsid w:val="00932C8B"/>
    <w:rsid w:val="00934FC7"/>
    <w:rsid w:val="00936539"/>
    <w:rsid w:val="00936DEF"/>
    <w:rsid w:val="009432C6"/>
    <w:rsid w:val="00952DE1"/>
    <w:rsid w:val="00960B5B"/>
    <w:rsid w:val="009635E5"/>
    <w:rsid w:val="009637C7"/>
    <w:rsid w:val="009668C7"/>
    <w:rsid w:val="00973F98"/>
    <w:rsid w:val="009759BA"/>
    <w:rsid w:val="00980C3E"/>
    <w:rsid w:val="009818AC"/>
    <w:rsid w:val="009819D9"/>
    <w:rsid w:val="00981A59"/>
    <w:rsid w:val="009826FF"/>
    <w:rsid w:val="00985BA1"/>
    <w:rsid w:val="009879FF"/>
    <w:rsid w:val="00992F8D"/>
    <w:rsid w:val="00993701"/>
    <w:rsid w:val="00993A8E"/>
    <w:rsid w:val="009947BB"/>
    <w:rsid w:val="00995ED4"/>
    <w:rsid w:val="00997D3D"/>
    <w:rsid w:val="009A515A"/>
    <w:rsid w:val="009A56C6"/>
    <w:rsid w:val="009A5B4A"/>
    <w:rsid w:val="009B08C2"/>
    <w:rsid w:val="009B7581"/>
    <w:rsid w:val="009C2A7D"/>
    <w:rsid w:val="009C42E8"/>
    <w:rsid w:val="009D1677"/>
    <w:rsid w:val="009D26BA"/>
    <w:rsid w:val="009D4795"/>
    <w:rsid w:val="009D5BC4"/>
    <w:rsid w:val="009D6613"/>
    <w:rsid w:val="009E12E7"/>
    <w:rsid w:val="009E1E35"/>
    <w:rsid w:val="009E2B8F"/>
    <w:rsid w:val="009E3101"/>
    <w:rsid w:val="009E3BF6"/>
    <w:rsid w:val="009E4868"/>
    <w:rsid w:val="009E5080"/>
    <w:rsid w:val="009E6FD9"/>
    <w:rsid w:val="009F0429"/>
    <w:rsid w:val="009F056A"/>
    <w:rsid w:val="009F1502"/>
    <w:rsid w:val="009F6F42"/>
    <w:rsid w:val="00A00639"/>
    <w:rsid w:val="00A00FCB"/>
    <w:rsid w:val="00A03C9A"/>
    <w:rsid w:val="00A0746F"/>
    <w:rsid w:val="00A07F7B"/>
    <w:rsid w:val="00A12811"/>
    <w:rsid w:val="00A22255"/>
    <w:rsid w:val="00A33D38"/>
    <w:rsid w:val="00A42CFB"/>
    <w:rsid w:val="00A436B9"/>
    <w:rsid w:val="00A44A9A"/>
    <w:rsid w:val="00A45146"/>
    <w:rsid w:val="00A47378"/>
    <w:rsid w:val="00A50053"/>
    <w:rsid w:val="00A518DE"/>
    <w:rsid w:val="00A53827"/>
    <w:rsid w:val="00A54366"/>
    <w:rsid w:val="00A55F2C"/>
    <w:rsid w:val="00A5626F"/>
    <w:rsid w:val="00A627A9"/>
    <w:rsid w:val="00A62DB6"/>
    <w:rsid w:val="00A77572"/>
    <w:rsid w:val="00A775E2"/>
    <w:rsid w:val="00A803E5"/>
    <w:rsid w:val="00A8224A"/>
    <w:rsid w:val="00A832E7"/>
    <w:rsid w:val="00A83B2B"/>
    <w:rsid w:val="00A90B9D"/>
    <w:rsid w:val="00A90D0A"/>
    <w:rsid w:val="00A92BAD"/>
    <w:rsid w:val="00A969AD"/>
    <w:rsid w:val="00A97814"/>
    <w:rsid w:val="00A97EE5"/>
    <w:rsid w:val="00AA28A9"/>
    <w:rsid w:val="00AA6D74"/>
    <w:rsid w:val="00AA7B8A"/>
    <w:rsid w:val="00AA7DCB"/>
    <w:rsid w:val="00AB5AEE"/>
    <w:rsid w:val="00AB7803"/>
    <w:rsid w:val="00AC39A2"/>
    <w:rsid w:val="00AD684E"/>
    <w:rsid w:val="00AD6DBA"/>
    <w:rsid w:val="00AD7C12"/>
    <w:rsid w:val="00AE7F83"/>
    <w:rsid w:val="00AF3159"/>
    <w:rsid w:val="00B00107"/>
    <w:rsid w:val="00B0318B"/>
    <w:rsid w:val="00B031D9"/>
    <w:rsid w:val="00B05112"/>
    <w:rsid w:val="00B078DD"/>
    <w:rsid w:val="00B0796E"/>
    <w:rsid w:val="00B1003D"/>
    <w:rsid w:val="00B10FDB"/>
    <w:rsid w:val="00B20132"/>
    <w:rsid w:val="00B23E6E"/>
    <w:rsid w:val="00B25E72"/>
    <w:rsid w:val="00B27529"/>
    <w:rsid w:val="00B322D4"/>
    <w:rsid w:val="00B360B8"/>
    <w:rsid w:val="00B423F4"/>
    <w:rsid w:val="00B438EC"/>
    <w:rsid w:val="00B439BE"/>
    <w:rsid w:val="00B44A9F"/>
    <w:rsid w:val="00B45D67"/>
    <w:rsid w:val="00B467A7"/>
    <w:rsid w:val="00B5217D"/>
    <w:rsid w:val="00B56E8C"/>
    <w:rsid w:val="00B573BE"/>
    <w:rsid w:val="00B62BEE"/>
    <w:rsid w:val="00B62C5E"/>
    <w:rsid w:val="00B662B0"/>
    <w:rsid w:val="00B66AA4"/>
    <w:rsid w:val="00B81561"/>
    <w:rsid w:val="00B8190C"/>
    <w:rsid w:val="00B873BD"/>
    <w:rsid w:val="00B901E6"/>
    <w:rsid w:val="00B90556"/>
    <w:rsid w:val="00B90B6E"/>
    <w:rsid w:val="00B93E5C"/>
    <w:rsid w:val="00B944C8"/>
    <w:rsid w:val="00B94576"/>
    <w:rsid w:val="00B94BA0"/>
    <w:rsid w:val="00BA52BE"/>
    <w:rsid w:val="00BA5CA2"/>
    <w:rsid w:val="00BB2B10"/>
    <w:rsid w:val="00BB58E6"/>
    <w:rsid w:val="00BC052D"/>
    <w:rsid w:val="00BC0C25"/>
    <w:rsid w:val="00BC22FB"/>
    <w:rsid w:val="00BD264F"/>
    <w:rsid w:val="00BD29AB"/>
    <w:rsid w:val="00BD49C3"/>
    <w:rsid w:val="00BE01C5"/>
    <w:rsid w:val="00BE0EC0"/>
    <w:rsid w:val="00BE3E00"/>
    <w:rsid w:val="00BF0386"/>
    <w:rsid w:val="00BF047F"/>
    <w:rsid w:val="00BF5905"/>
    <w:rsid w:val="00C00367"/>
    <w:rsid w:val="00C0119B"/>
    <w:rsid w:val="00C0321A"/>
    <w:rsid w:val="00C03F82"/>
    <w:rsid w:val="00C05F4B"/>
    <w:rsid w:val="00C11CA3"/>
    <w:rsid w:val="00C2196F"/>
    <w:rsid w:val="00C227D1"/>
    <w:rsid w:val="00C22E26"/>
    <w:rsid w:val="00C23649"/>
    <w:rsid w:val="00C35951"/>
    <w:rsid w:val="00C42645"/>
    <w:rsid w:val="00C43009"/>
    <w:rsid w:val="00C44A9A"/>
    <w:rsid w:val="00C454CE"/>
    <w:rsid w:val="00C45AEE"/>
    <w:rsid w:val="00C467A5"/>
    <w:rsid w:val="00C46A4C"/>
    <w:rsid w:val="00C514D1"/>
    <w:rsid w:val="00C52061"/>
    <w:rsid w:val="00C5211D"/>
    <w:rsid w:val="00C526FD"/>
    <w:rsid w:val="00C5600A"/>
    <w:rsid w:val="00C56590"/>
    <w:rsid w:val="00C65E7F"/>
    <w:rsid w:val="00C67FA7"/>
    <w:rsid w:val="00C701B7"/>
    <w:rsid w:val="00C74B76"/>
    <w:rsid w:val="00C775B0"/>
    <w:rsid w:val="00C8206B"/>
    <w:rsid w:val="00C86B8C"/>
    <w:rsid w:val="00C87954"/>
    <w:rsid w:val="00C931EB"/>
    <w:rsid w:val="00C95F0A"/>
    <w:rsid w:val="00C978FD"/>
    <w:rsid w:val="00CA272B"/>
    <w:rsid w:val="00CA555E"/>
    <w:rsid w:val="00CA7F42"/>
    <w:rsid w:val="00CB18DA"/>
    <w:rsid w:val="00CB2D2C"/>
    <w:rsid w:val="00CB392D"/>
    <w:rsid w:val="00CC238E"/>
    <w:rsid w:val="00CD554A"/>
    <w:rsid w:val="00CD5B1B"/>
    <w:rsid w:val="00CD5C81"/>
    <w:rsid w:val="00CE1E8F"/>
    <w:rsid w:val="00CF2287"/>
    <w:rsid w:val="00CF7695"/>
    <w:rsid w:val="00CF7AFF"/>
    <w:rsid w:val="00D11511"/>
    <w:rsid w:val="00D11C40"/>
    <w:rsid w:val="00D14546"/>
    <w:rsid w:val="00D174C2"/>
    <w:rsid w:val="00D20619"/>
    <w:rsid w:val="00D21D9D"/>
    <w:rsid w:val="00D2643B"/>
    <w:rsid w:val="00D44D25"/>
    <w:rsid w:val="00D47C75"/>
    <w:rsid w:val="00D501DD"/>
    <w:rsid w:val="00D52693"/>
    <w:rsid w:val="00D5679C"/>
    <w:rsid w:val="00D56C0F"/>
    <w:rsid w:val="00D56F79"/>
    <w:rsid w:val="00D57D84"/>
    <w:rsid w:val="00D60254"/>
    <w:rsid w:val="00D60A6E"/>
    <w:rsid w:val="00D67361"/>
    <w:rsid w:val="00D7059E"/>
    <w:rsid w:val="00D7287C"/>
    <w:rsid w:val="00D72B50"/>
    <w:rsid w:val="00D76DDC"/>
    <w:rsid w:val="00D77AC7"/>
    <w:rsid w:val="00D85E8B"/>
    <w:rsid w:val="00D865DD"/>
    <w:rsid w:val="00D91BB9"/>
    <w:rsid w:val="00D939C2"/>
    <w:rsid w:val="00D9442D"/>
    <w:rsid w:val="00D967F1"/>
    <w:rsid w:val="00DA006B"/>
    <w:rsid w:val="00DA41EB"/>
    <w:rsid w:val="00DB02B7"/>
    <w:rsid w:val="00DB1134"/>
    <w:rsid w:val="00DB127E"/>
    <w:rsid w:val="00DB32D3"/>
    <w:rsid w:val="00DC600F"/>
    <w:rsid w:val="00DD192D"/>
    <w:rsid w:val="00DD2DAF"/>
    <w:rsid w:val="00DD31CD"/>
    <w:rsid w:val="00DD70E6"/>
    <w:rsid w:val="00DD7C34"/>
    <w:rsid w:val="00DE4771"/>
    <w:rsid w:val="00DF0CBD"/>
    <w:rsid w:val="00DF0D63"/>
    <w:rsid w:val="00DF61EF"/>
    <w:rsid w:val="00DF7578"/>
    <w:rsid w:val="00DF7917"/>
    <w:rsid w:val="00E02A4A"/>
    <w:rsid w:val="00E063A3"/>
    <w:rsid w:val="00E12D2C"/>
    <w:rsid w:val="00E1603F"/>
    <w:rsid w:val="00E24422"/>
    <w:rsid w:val="00E24FD9"/>
    <w:rsid w:val="00E319F4"/>
    <w:rsid w:val="00E36245"/>
    <w:rsid w:val="00E42BF1"/>
    <w:rsid w:val="00E44F7A"/>
    <w:rsid w:val="00E50F30"/>
    <w:rsid w:val="00E532C1"/>
    <w:rsid w:val="00E53677"/>
    <w:rsid w:val="00E53D9F"/>
    <w:rsid w:val="00E55267"/>
    <w:rsid w:val="00E60FE9"/>
    <w:rsid w:val="00E61C9E"/>
    <w:rsid w:val="00E61F76"/>
    <w:rsid w:val="00E6279C"/>
    <w:rsid w:val="00E64CC8"/>
    <w:rsid w:val="00E662D7"/>
    <w:rsid w:val="00E70C14"/>
    <w:rsid w:val="00E71770"/>
    <w:rsid w:val="00E71DFF"/>
    <w:rsid w:val="00E758B9"/>
    <w:rsid w:val="00E76064"/>
    <w:rsid w:val="00E76E27"/>
    <w:rsid w:val="00E93930"/>
    <w:rsid w:val="00E947F9"/>
    <w:rsid w:val="00E94C02"/>
    <w:rsid w:val="00E95BD6"/>
    <w:rsid w:val="00E97393"/>
    <w:rsid w:val="00E97DD4"/>
    <w:rsid w:val="00EA3F20"/>
    <w:rsid w:val="00EA4F48"/>
    <w:rsid w:val="00EA71C6"/>
    <w:rsid w:val="00EB56C3"/>
    <w:rsid w:val="00EB6562"/>
    <w:rsid w:val="00EC1513"/>
    <w:rsid w:val="00EC41BF"/>
    <w:rsid w:val="00EC5C2C"/>
    <w:rsid w:val="00EC6E03"/>
    <w:rsid w:val="00EC71A7"/>
    <w:rsid w:val="00EC7AF5"/>
    <w:rsid w:val="00ED01F7"/>
    <w:rsid w:val="00ED637C"/>
    <w:rsid w:val="00ED7C7D"/>
    <w:rsid w:val="00EE375B"/>
    <w:rsid w:val="00EE41D2"/>
    <w:rsid w:val="00EE4709"/>
    <w:rsid w:val="00EE486F"/>
    <w:rsid w:val="00EE5211"/>
    <w:rsid w:val="00EE52D7"/>
    <w:rsid w:val="00EE5531"/>
    <w:rsid w:val="00EE680D"/>
    <w:rsid w:val="00EE6CA5"/>
    <w:rsid w:val="00EF05EF"/>
    <w:rsid w:val="00EF062A"/>
    <w:rsid w:val="00EF29B7"/>
    <w:rsid w:val="00EF64AA"/>
    <w:rsid w:val="00EF7485"/>
    <w:rsid w:val="00EF7DCD"/>
    <w:rsid w:val="00F01F96"/>
    <w:rsid w:val="00F02197"/>
    <w:rsid w:val="00F02F16"/>
    <w:rsid w:val="00F06A25"/>
    <w:rsid w:val="00F1047E"/>
    <w:rsid w:val="00F1168A"/>
    <w:rsid w:val="00F122F1"/>
    <w:rsid w:val="00F13F2F"/>
    <w:rsid w:val="00F202AC"/>
    <w:rsid w:val="00F23B7A"/>
    <w:rsid w:val="00F250EB"/>
    <w:rsid w:val="00F25771"/>
    <w:rsid w:val="00F25E14"/>
    <w:rsid w:val="00F27586"/>
    <w:rsid w:val="00F310B0"/>
    <w:rsid w:val="00F31F8C"/>
    <w:rsid w:val="00F334DF"/>
    <w:rsid w:val="00F37477"/>
    <w:rsid w:val="00F4115C"/>
    <w:rsid w:val="00F43034"/>
    <w:rsid w:val="00F43300"/>
    <w:rsid w:val="00F43BA8"/>
    <w:rsid w:val="00F43D94"/>
    <w:rsid w:val="00F62CF4"/>
    <w:rsid w:val="00F6763E"/>
    <w:rsid w:val="00F72657"/>
    <w:rsid w:val="00F80394"/>
    <w:rsid w:val="00F8221C"/>
    <w:rsid w:val="00F83F06"/>
    <w:rsid w:val="00F84FD0"/>
    <w:rsid w:val="00F85D69"/>
    <w:rsid w:val="00F9406D"/>
    <w:rsid w:val="00F949C9"/>
    <w:rsid w:val="00F95CC9"/>
    <w:rsid w:val="00F96F51"/>
    <w:rsid w:val="00FA05F6"/>
    <w:rsid w:val="00FA32C4"/>
    <w:rsid w:val="00FA38BC"/>
    <w:rsid w:val="00FA4304"/>
    <w:rsid w:val="00FB1352"/>
    <w:rsid w:val="00FB24F2"/>
    <w:rsid w:val="00FB28C0"/>
    <w:rsid w:val="00FB43C7"/>
    <w:rsid w:val="00FB4A51"/>
    <w:rsid w:val="00FC2FF8"/>
    <w:rsid w:val="00FD0EAD"/>
    <w:rsid w:val="00FD125C"/>
    <w:rsid w:val="00FD3B21"/>
    <w:rsid w:val="00FD5C57"/>
    <w:rsid w:val="00FE0020"/>
    <w:rsid w:val="00FE1CCA"/>
    <w:rsid w:val="00FE59C9"/>
    <w:rsid w:val="00FE66DD"/>
    <w:rsid w:val="00FE77E3"/>
    <w:rsid w:val="00FF1A03"/>
    <w:rsid w:val="00FF30C8"/>
    <w:rsid w:val="00FF5D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7E3"/>
    <w:pPr>
      <w:spacing w:line="276" w:lineRule="auto"/>
    </w:pPr>
    <w:rPr>
      <w:rFonts w:cs="Arial"/>
      <w:sz w:val="22"/>
      <w:szCs w:val="21"/>
    </w:rPr>
  </w:style>
  <w:style w:type="paragraph" w:styleId="Heading1">
    <w:name w:val="heading 1"/>
    <w:aliases w:val="Heading 1 MCP"/>
    <w:basedOn w:val="Normal"/>
    <w:link w:val="Heading1Char"/>
    <w:uiPriority w:val="9"/>
    <w:qFormat/>
    <w:rsid w:val="00FE77E3"/>
    <w:pPr>
      <w:keepNext/>
      <w:keepLines/>
      <w:numPr>
        <w:numId w:val="1"/>
      </w:numPr>
      <w:spacing w:after="240"/>
      <w:outlineLvl w:val="0"/>
    </w:pPr>
    <w:rPr>
      <w:rFonts w:asciiTheme="majorHAnsi" w:eastAsiaTheme="majorEastAsia" w:hAnsiTheme="majorHAnsi" w:cstheme="majorBidi"/>
      <w:sz w:val="32"/>
      <w:szCs w:val="32"/>
    </w:rPr>
  </w:style>
  <w:style w:type="paragraph" w:styleId="Heading2">
    <w:name w:val="heading 2"/>
    <w:aliases w:val="Heading 2 MCP"/>
    <w:basedOn w:val="Normal"/>
    <w:next w:val="Normal"/>
    <w:link w:val="Heading2Char"/>
    <w:uiPriority w:val="9"/>
    <w:unhideWhenUsed/>
    <w:qFormat/>
    <w:rsid w:val="00BE0EC0"/>
    <w:pPr>
      <w:keepNext/>
      <w:keepLines/>
      <w:numPr>
        <w:ilvl w:val="1"/>
        <w:numId w:val="1"/>
      </w:numPr>
      <w:outlineLvl w:val="1"/>
    </w:pPr>
    <w:rPr>
      <w:rFonts w:eastAsiaTheme="majorEastAsia" w:cstheme="majorBidi"/>
      <w:color w:val="3EB1C8" w:themeColor="accent3"/>
      <w:sz w:val="23"/>
      <w:szCs w:val="26"/>
    </w:rPr>
  </w:style>
  <w:style w:type="paragraph" w:styleId="Heading3">
    <w:name w:val="heading 3"/>
    <w:aliases w:val="Heading 3 MCP"/>
    <w:basedOn w:val="Normal"/>
    <w:next w:val="Normal"/>
    <w:link w:val="Heading3Char"/>
    <w:uiPriority w:val="9"/>
    <w:unhideWhenUsed/>
    <w:qFormat/>
    <w:rsid w:val="00BE0EC0"/>
    <w:pPr>
      <w:keepNext/>
      <w:keepLines/>
      <w:numPr>
        <w:ilvl w:val="2"/>
        <w:numId w:val="1"/>
      </w:numPr>
      <w:outlineLvl w:val="2"/>
    </w:pPr>
    <w:rPr>
      <w:rFonts w:eastAsiaTheme="majorEastAsia" w:cstheme="majorBidi"/>
      <w:color w:val="000000" w:themeColor="text1"/>
      <w:szCs w:val="24"/>
    </w:rPr>
  </w:style>
  <w:style w:type="paragraph" w:styleId="Heading4">
    <w:name w:val="heading 4"/>
    <w:aliases w:val="Heading 4 MCP"/>
    <w:basedOn w:val="Normal"/>
    <w:next w:val="Normal"/>
    <w:link w:val="Heading4Char"/>
    <w:uiPriority w:val="9"/>
    <w:unhideWhenUsed/>
    <w:qFormat/>
    <w:rsid w:val="00BE0EC0"/>
    <w:pPr>
      <w:keepNext/>
      <w:keepLines/>
      <w:numPr>
        <w:ilvl w:val="3"/>
        <w:numId w:val="1"/>
      </w:numPr>
      <w:outlineLvl w:val="3"/>
    </w:pPr>
    <w:rPr>
      <w:rFonts w:asciiTheme="majorHAnsi" w:eastAsiaTheme="majorEastAsia" w:hAnsiTheme="majorHAnsi" w:cstheme="majorBidi"/>
      <w:iCs/>
      <w:color w:val="000000" w:themeColor="text1"/>
    </w:rPr>
  </w:style>
  <w:style w:type="paragraph" w:styleId="Heading5">
    <w:name w:val="heading 5"/>
    <w:basedOn w:val="Normal"/>
    <w:next w:val="Normal"/>
    <w:link w:val="Heading5Char"/>
    <w:uiPriority w:val="9"/>
    <w:unhideWhenUsed/>
    <w:qFormat/>
    <w:rsid w:val="00BE0EC0"/>
    <w:pPr>
      <w:keepNext/>
      <w:keepLines/>
      <w:numPr>
        <w:ilvl w:val="4"/>
        <w:numId w:val="1"/>
      </w:numPr>
      <w:contextualSpacing/>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unhideWhenUsed/>
    <w:qFormat/>
    <w:rsid w:val="00BE0EC0"/>
    <w:pPr>
      <w:keepNext/>
      <w:keepLines/>
      <w:numPr>
        <w:ilvl w:val="5"/>
        <w:numId w:val="1"/>
      </w:numPr>
      <w:contextualSpacing/>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BE0EC0"/>
    <w:pPr>
      <w:keepNext/>
      <w:keepLines/>
      <w:numPr>
        <w:ilvl w:val="6"/>
        <w:numId w:val="1"/>
      </w:numPr>
      <w:spacing w:before="40"/>
      <w:outlineLvl w:val="6"/>
    </w:pPr>
    <w:rPr>
      <w:rFonts w:asciiTheme="majorHAnsi" w:eastAsiaTheme="majorEastAsia" w:hAnsiTheme="majorHAnsi" w:cstheme="majorBidi"/>
      <w:i/>
      <w:iCs/>
      <w:color w:val="520C16" w:themeColor="accent1" w:themeShade="7F"/>
    </w:rPr>
  </w:style>
  <w:style w:type="paragraph" w:styleId="Heading8">
    <w:name w:val="heading 8"/>
    <w:basedOn w:val="Normal"/>
    <w:next w:val="Normal"/>
    <w:link w:val="Heading8Char"/>
    <w:uiPriority w:val="9"/>
    <w:semiHidden/>
    <w:unhideWhenUsed/>
    <w:qFormat/>
    <w:rsid w:val="00BE0EC0"/>
    <w:pPr>
      <w:keepNext/>
      <w:keepLines/>
      <w:numPr>
        <w:ilvl w:val="7"/>
        <w:numId w:val="1"/>
      </w:numPr>
      <w:spacing w:before="4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
    <w:uiPriority w:val="9"/>
    <w:semiHidden/>
    <w:unhideWhenUsed/>
    <w:qFormat/>
    <w:rsid w:val="00BE0EC0"/>
    <w:pPr>
      <w:keepNext/>
      <w:keepLines/>
      <w:numPr>
        <w:ilvl w:val="8"/>
        <w:numId w:val="1"/>
      </w:numPr>
      <w:spacing w:before="4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PBullet1">
    <w:name w:val="MCP Bullet 1"/>
    <w:basedOn w:val="ListParagraph"/>
    <w:link w:val="MCPBullet1Char"/>
    <w:qFormat/>
    <w:rsid w:val="00BE0EC0"/>
    <w:pPr>
      <w:numPr>
        <w:numId w:val="3"/>
      </w:numPr>
      <w:ind w:left="360" w:hanging="360"/>
    </w:pPr>
    <w:rPr>
      <w:rFonts w:cstheme="majorHAnsi"/>
      <w:sz w:val="21"/>
      <w:szCs w:val="21"/>
    </w:rPr>
  </w:style>
  <w:style w:type="character" w:customStyle="1" w:styleId="MCPBullet1Char">
    <w:name w:val="MCP Bullet 1 Char"/>
    <w:basedOn w:val="ListParagraphChar"/>
    <w:link w:val="MCPBullet1"/>
    <w:rsid w:val="00BE0EC0"/>
    <w:rPr>
      <w:rFonts w:ascii="Arial" w:eastAsia="Calibri" w:hAnsi="Arial" w:cstheme="majorHAnsi"/>
      <w:color w:val="000000" w:themeColor="text1"/>
      <w:sz w:val="21"/>
      <w:szCs w:val="21"/>
    </w:rPr>
  </w:style>
  <w:style w:type="paragraph" w:styleId="ListParagraph">
    <w:name w:val="List Paragraph"/>
    <w:aliases w:val="Alpha List Paragraph,Appendicies"/>
    <w:basedOn w:val="Normal"/>
    <w:link w:val="ListParagraphChar"/>
    <w:uiPriority w:val="34"/>
    <w:qFormat/>
    <w:rsid w:val="00BE0EC0"/>
    <w:pPr>
      <w:ind w:left="720"/>
      <w:contextualSpacing/>
    </w:pPr>
    <w:rPr>
      <w:rFonts w:eastAsia="Calibri"/>
      <w:color w:val="000000" w:themeColor="text1"/>
      <w:szCs w:val="20"/>
    </w:rPr>
  </w:style>
  <w:style w:type="paragraph" w:customStyle="1" w:styleId="MCPAppendix">
    <w:name w:val="MCP Appendix"/>
    <w:basedOn w:val="Normal"/>
    <w:qFormat/>
    <w:rsid w:val="00BE0EC0"/>
    <w:pPr>
      <w:spacing w:after="360"/>
    </w:pPr>
    <w:rPr>
      <w:color w:val="3EB1C8" w:themeColor="accent3"/>
      <w:sz w:val="32"/>
    </w:rPr>
  </w:style>
  <w:style w:type="paragraph" w:customStyle="1" w:styleId="FooterMCPPage">
    <w:name w:val="Footer MCP Page #"/>
    <w:basedOn w:val="Footer"/>
    <w:qFormat/>
    <w:rsid w:val="00BE0EC0"/>
    <w:pPr>
      <w:tabs>
        <w:tab w:val="clear" w:pos="9360"/>
        <w:tab w:val="right" w:pos="9720"/>
      </w:tabs>
      <w:jc w:val="center"/>
    </w:pPr>
    <w:rPr>
      <w:color w:val="000000" w:themeColor="text1"/>
      <w:sz w:val="16"/>
    </w:rPr>
  </w:style>
  <w:style w:type="paragraph" w:styleId="Footer">
    <w:name w:val="footer"/>
    <w:basedOn w:val="Normal"/>
    <w:link w:val="FooterChar"/>
    <w:uiPriority w:val="99"/>
    <w:unhideWhenUsed/>
    <w:rsid w:val="00BE0EC0"/>
    <w:pPr>
      <w:tabs>
        <w:tab w:val="center" w:pos="4680"/>
        <w:tab w:val="right" w:pos="9360"/>
      </w:tabs>
    </w:pPr>
  </w:style>
  <w:style w:type="character" w:customStyle="1" w:styleId="FooterChar">
    <w:name w:val="Footer Char"/>
    <w:basedOn w:val="DefaultParagraphFont"/>
    <w:link w:val="Footer"/>
    <w:uiPriority w:val="99"/>
    <w:rsid w:val="00BE0EC0"/>
  </w:style>
  <w:style w:type="paragraph" w:customStyle="1" w:styleId="FooterMCPwebsite">
    <w:name w:val="Footer MCP website"/>
    <w:basedOn w:val="Normal"/>
    <w:qFormat/>
    <w:rsid w:val="00BE0EC0"/>
    <w:pPr>
      <w:widowControl w:val="0"/>
      <w:autoSpaceDE w:val="0"/>
      <w:autoSpaceDN w:val="0"/>
      <w:adjustRightInd w:val="0"/>
      <w:spacing w:line="360" w:lineRule="auto"/>
      <w:jc w:val="center"/>
      <w:textAlignment w:val="center"/>
    </w:pPr>
    <w:rPr>
      <w:rFonts w:cs="Univers-Bold"/>
      <w:b/>
      <w:bCs/>
      <w:color w:val="A6192E" w:themeColor="accent1"/>
      <w:spacing w:val="2"/>
      <w:sz w:val="16"/>
      <w:szCs w:val="16"/>
    </w:rPr>
  </w:style>
  <w:style w:type="paragraph" w:customStyle="1" w:styleId="FooterMCPAddress">
    <w:name w:val="Footer MCP Address"/>
    <w:basedOn w:val="Normal"/>
    <w:qFormat/>
    <w:rsid w:val="00BE0EC0"/>
    <w:pPr>
      <w:widowControl w:val="0"/>
      <w:autoSpaceDE w:val="0"/>
      <w:autoSpaceDN w:val="0"/>
      <w:adjustRightInd w:val="0"/>
      <w:spacing w:line="288" w:lineRule="auto"/>
      <w:ind w:left="720"/>
      <w:jc w:val="center"/>
      <w:textAlignment w:val="center"/>
    </w:pPr>
    <w:rPr>
      <w:color w:val="5D5E5E" w:themeColor="text2"/>
      <w:spacing w:val="2"/>
      <w:sz w:val="16"/>
      <w:szCs w:val="16"/>
    </w:rPr>
  </w:style>
  <w:style w:type="paragraph" w:customStyle="1" w:styleId="MCPBullet2">
    <w:name w:val="MCP Bullet 2"/>
    <w:basedOn w:val="ListParagraph"/>
    <w:qFormat/>
    <w:rsid w:val="00450188"/>
    <w:pPr>
      <w:numPr>
        <w:ilvl w:val="1"/>
        <w:numId w:val="2"/>
      </w:numPr>
    </w:pPr>
    <w:rPr>
      <w:rFonts w:cs="Times New Roman"/>
      <w:szCs w:val="21"/>
    </w:rPr>
  </w:style>
  <w:style w:type="paragraph" w:customStyle="1" w:styleId="MCPBullet3">
    <w:name w:val="MCP Bullet 3"/>
    <w:basedOn w:val="MCPBullet2"/>
    <w:qFormat/>
    <w:rsid w:val="00BE0EC0"/>
    <w:pPr>
      <w:numPr>
        <w:ilvl w:val="2"/>
      </w:numPr>
    </w:pPr>
  </w:style>
  <w:style w:type="paragraph" w:customStyle="1" w:styleId="MCPBullet4">
    <w:name w:val="MCP Bullet 4"/>
    <w:basedOn w:val="MCPBullet3"/>
    <w:qFormat/>
    <w:rsid w:val="00BE0EC0"/>
    <w:pPr>
      <w:numPr>
        <w:ilvl w:val="3"/>
      </w:numPr>
    </w:pPr>
  </w:style>
  <w:style w:type="paragraph" w:customStyle="1" w:styleId="MCPCoverHeading1">
    <w:name w:val="MCP Cover Heading 1"/>
    <w:basedOn w:val="Normal"/>
    <w:link w:val="MCPCoverHeading1Char"/>
    <w:qFormat/>
    <w:rsid w:val="00BE0EC0"/>
    <w:pPr>
      <w:jc w:val="center"/>
    </w:pPr>
    <w:rPr>
      <w:color w:val="A6192E" w:themeColor="accent1"/>
      <w:sz w:val="36"/>
      <w:szCs w:val="36"/>
    </w:rPr>
  </w:style>
  <w:style w:type="character" w:customStyle="1" w:styleId="MCPCoverHeading1Char">
    <w:name w:val="MCP Cover Heading 1 Char"/>
    <w:basedOn w:val="DefaultParagraphFont"/>
    <w:link w:val="MCPCoverHeading1"/>
    <w:rsid w:val="00BE0EC0"/>
    <w:rPr>
      <w:rFonts w:ascii="Arial" w:hAnsi="Arial" w:cs="Arial"/>
      <w:color w:val="A6192E" w:themeColor="accent1"/>
      <w:sz w:val="36"/>
      <w:szCs w:val="36"/>
    </w:rPr>
  </w:style>
  <w:style w:type="paragraph" w:customStyle="1" w:styleId="MCPCoverHeading2">
    <w:name w:val="MCP Cover Heading 2"/>
    <w:basedOn w:val="Normal"/>
    <w:link w:val="MCPCoverHeading2Char"/>
    <w:qFormat/>
    <w:rsid w:val="00BE0EC0"/>
    <w:pPr>
      <w:spacing w:after="360"/>
      <w:jc w:val="center"/>
    </w:pPr>
    <w:rPr>
      <w:color w:val="000000" w:themeColor="text1"/>
      <w:sz w:val="36"/>
      <w:szCs w:val="36"/>
    </w:rPr>
  </w:style>
  <w:style w:type="character" w:customStyle="1" w:styleId="MCPCoverHeading2Char">
    <w:name w:val="MCP Cover Heading 2 Char"/>
    <w:basedOn w:val="DefaultParagraphFont"/>
    <w:link w:val="MCPCoverHeading2"/>
    <w:rsid w:val="00BE0EC0"/>
    <w:rPr>
      <w:rFonts w:ascii="Arial" w:hAnsi="Arial" w:cs="Arial"/>
      <w:color w:val="000000" w:themeColor="text1"/>
      <w:sz w:val="36"/>
      <w:szCs w:val="36"/>
    </w:rPr>
  </w:style>
  <w:style w:type="paragraph" w:customStyle="1" w:styleId="MCPTOCHeading">
    <w:name w:val="MCP TOC Heading"/>
    <w:basedOn w:val="TOCHeading"/>
    <w:qFormat/>
    <w:rsid w:val="00BE0EC0"/>
  </w:style>
  <w:style w:type="character" w:customStyle="1" w:styleId="Heading1Char">
    <w:name w:val="Heading 1 Char"/>
    <w:aliases w:val="Heading 1 MCP Char"/>
    <w:basedOn w:val="DefaultParagraphFont"/>
    <w:link w:val="Heading1"/>
    <w:uiPriority w:val="9"/>
    <w:rsid w:val="00FE77E3"/>
    <w:rPr>
      <w:rFonts w:asciiTheme="majorHAnsi" w:eastAsiaTheme="majorEastAsia" w:hAnsiTheme="majorHAnsi" w:cstheme="majorBidi"/>
      <w:sz w:val="32"/>
      <w:szCs w:val="32"/>
    </w:rPr>
  </w:style>
  <w:style w:type="paragraph" w:styleId="TOCHeading">
    <w:name w:val="TOC Heading"/>
    <w:aliases w:val="MCP,TOC Heading MCP"/>
    <w:basedOn w:val="Heading1"/>
    <w:next w:val="Normal"/>
    <w:uiPriority w:val="39"/>
    <w:unhideWhenUsed/>
    <w:qFormat/>
    <w:rsid w:val="00BE0EC0"/>
    <w:pPr>
      <w:numPr>
        <w:numId w:val="0"/>
      </w:numPr>
      <w:spacing w:after="480" w:line="259" w:lineRule="auto"/>
      <w:outlineLvl w:val="9"/>
    </w:pPr>
  </w:style>
  <w:style w:type="paragraph" w:customStyle="1" w:styleId="MCPCoverHeading3">
    <w:name w:val="MCP Cover Heading 3"/>
    <w:basedOn w:val="Normal"/>
    <w:link w:val="MCPCoverHeading3Char"/>
    <w:qFormat/>
    <w:rsid w:val="00BE0EC0"/>
    <w:pPr>
      <w:jc w:val="center"/>
    </w:pPr>
    <w:rPr>
      <w:color w:val="828C8E"/>
      <w:sz w:val="28"/>
      <w:szCs w:val="28"/>
    </w:rPr>
  </w:style>
  <w:style w:type="character" w:customStyle="1" w:styleId="MCPCoverHeading3Char">
    <w:name w:val="MCP Cover Heading 3 Char"/>
    <w:basedOn w:val="DefaultParagraphFont"/>
    <w:link w:val="MCPCoverHeading3"/>
    <w:rsid w:val="00BE0EC0"/>
    <w:rPr>
      <w:rFonts w:ascii="Arial" w:hAnsi="Arial" w:cs="Arial"/>
      <w:color w:val="828C8E"/>
      <w:sz w:val="28"/>
      <w:szCs w:val="28"/>
    </w:rPr>
  </w:style>
  <w:style w:type="paragraph" w:customStyle="1" w:styleId="SubtitleHeadingBlue">
    <w:name w:val="Subtitle Heading Blue"/>
    <w:basedOn w:val="Normal"/>
    <w:qFormat/>
    <w:rsid w:val="00BE0EC0"/>
    <w:rPr>
      <w:color w:val="3EB1C8" w:themeColor="accent3"/>
      <w:sz w:val="23"/>
    </w:rPr>
  </w:style>
  <w:style w:type="paragraph" w:customStyle="1" w:styleId="ExecutiveSummary">
    <w:name w:val="Executive Summary"/>
    <w:basedOn w:val="Heading1"/>
    <w:qFormat/>
    <w:rsid w:val="00BE0EC0"/>
    <w:pPr>
      <w:numPr>
        <w:numId w:val="0"/>
      </w:numPr>
    </w:pPr>
  </w:style>
  <w:style w:type="character" w:customStyle="1" w:styleId="Heading2Char">
    <w:name w:val="Heading 2 Char"/>
    <w:aliases w:val="Heading 2 MCP Char"/>
    <w:basedOn w:val="DefaultParagraphFont"/>
    <w:link w:val="Heading2"/>
    <w:uiPriority w:val="9"/>
    <w:rsid w:val="00BE0EC0"/>
    <w:rPr>
      <w:rFonts w:eastAsiaTheme="majorEastAsia" w:cstheme="majorBidi"/>
      <w:color w:val="3EB1C8" w:themeColor="accent3"/>
      <w:sz w:val="23"/>
      <w:szCs w:val="26"/>
    </w:rPr>
  </w:style>
  <w:style w:type="character" w:customStyle="1" w:styleId="Heading3Char">
    <w:name w:val="Heading 3 Char"/>
    <w:aliases w:val="Heading 3 MCP Char"/>
    <w:basedOn w:val="DefaultParagraphFont"/>
    <w:link w:val="Heading3"/>
    <w:uiPriority w:val="9"/>
    <w:rsid w:val="00BE0EC0"/>
    <w:rPr>
      <w:rFonts w:eastAsiaTheme="majorEastAsia" w:cstheme="majorBidi"/>
      <w:color w:val="000000" w:themeColor="text1"/>
      <w:sz w:val="22"/>
    </w:rPr>
  </w:style>
  <w:style w:type="character" w:customStyle="1" w:styleId="Heading4Char">
    <w:name w:val="Heading 4 Char"/>
    <w:aliases w:val="Heading 4 MCP Char"/>
    <w:basedOn w:val="DefaultParagraphFont"/>
    <w:link w:val="Heading4"/>
    <w:uiPriority w:val="9"/>
    <w:rsid w:val="00BE0EC0"/>
    <w:rPr>
      <w:rFonts w:asciiTheme="majorHAnsi" w:eastAsiaTheme="majorEastAsia" w:hAnsiTheme="majorHAnsi" w:cstheme="majorBidi"/>
      <w:iCs/>
      <w:color w:val="000000" w:themeColor="text1"/>
      <w:sz w:val="22"/>
      <w:szCs w:val="21"/>
    </w:rPr>
  </w:style>
  <w:style w:type="character" w:customStyle="1" w:styleId="Heading5Char">
    <w:name w:val="Heading 5 Char"/>
    <w:basedOn w:val="DefaultParagraphFont"/>
    <w:link w:val="Heading5"/>
    <w:uiPriority w:val="9"/>
    <w:rsid w:val="00BE0EC0"/>
    <w:rPr>
      <w:rFonts w:asciiTheme="majorHAnsi" w:eastAsiaTheme="majorEastAsia" w:hAnsiTheme="majorHAnsi" w:cstheme="majorBidi"/>
      <w:color w:val="000000" w:themeColor="text1"/>
      <w:sz w:val="22"/>
      <w:szCs w:val="21"/>
    </w:rPr>
  </w:style>
  <w:style w:type="character" w:customStyle="1" w:styleId="Heading6Char">
    <w:name w:val="Heading 6 Char"/>
    <w:basedOn w:val="DefaultParagraphFont"/>
    <w:link w:val="Heading6"/>
    <w:uiPriority w:val="9"/>
    <w:rsid w:val="00BE0EC0"/>
    <w:rPr>
      <w:rFonts w:asciiTheme="majorHAnsi" w:eastAsiaTheme="majorEastAsia" w:hAnsiTheme="majorHAnsi" w:cstheme="majorBidi"/>
      <w:color w:val="000000" w:themeColor="text1"/>
      <w:sz w:val="22"/>
      <w:szCs w:val="21"/>
    </w:rPr>
  </w:style>
  <w:style w:type="character" w:customStyle="1" w:styleId="Heading7Char">
    <w:name w:val="Heading 7 Char"/>
    <w:basedOn w:val="DefaultParagraphFont"/>
    <w:link w:val="Heading7"/>
    <w:uiPriority w:val="9"/>
    <w:semiHidden/>
    <w:rsid w:val="00BE0EC0"/>
    <w:rPr>
      <w:rFonts w:asciiTheme="majorHAnsi" w:eastAsiaTheme="majorEastAsia" w:hAnsiTheme="majorHAnsi" w:cstheme="majorBidi"/>
      <w:i/>
      <w:iCs/>
      <w:color w:val="520C16" w:themeColor="accent1" w:themeShade="7F"/>
      <w:sz w:val="22"/>
      <w:szCs w:val="21"/>
    </w:rPr>
  </w:style>
  <w:style w:type="character" w:customStyle="1" w:styleId="Heading8Char">
    <w:name w:val="Heading 8 Char"/>
    <w:basedOn w:val="DefaultParagraphFont"/>
    <w:link w:val="Heading8"/>
    <w:uiPriority w:val="9"/>
    <w:semiHidden/>
    <w:rsid w:val="00BE0EC0"/>
    <w:rPr>
      <w:rFonts w:asciiTheme="majorHAnsi" w:eastAsiaTheme="majorEastAsia" w:hAnsiTheme="majorHAnsi" w:cstheme="majorBidi"/>
      <w:color w:val="272727" w:themeColor="text1" w:themeTint="D8"/>
      <w:sz w:val="22"/>
      <w:szCs w:val="21"/>
    </w:rPr>
  </w:style>
  <w:style w:type="character" w:customStyle="1" w:styleId="Heading9Char">
    <w:name w:val="Heading 9 Char"/>
    <w:basedOn w:val="DefaultParagraphFont"/>
    <w:link w:val="Heading9"/>
    <w:uiPriority w:val="9"/>
    <w:semiHidden/>
    <w:rsid w:val="00BE0EC0"/>
    <w:rPr>
      <w:rFonts w:asciiTheme="majorHAnsi" w:eastAsiaTheme="majorEastAsia" w:hAnsiTheme="majorHAnsi" w:cstheme="majorBidi"/>
      <w:i/>
      <w:iCs/>
      <w:color w:val="272727" w:themeColor="text1" w:themeTint="D8"/>
      <w:sz w:val="22"/>
      <w:szCs w:val="21"/>
    </w:rPr>
  </w:style>
  <w:style w:type="paragraph" w:styleId="Caption">
    <w:name w:val="caption"/>
    <w:basedOn w:val="Normal"/>
    <w:next w:val="Normal"/>
    <w:uiPriority w:val="35"/>
    <w:unhideWhenUsed/>
    <w:qFormat/>
    <w:rsid w:val="00BE0EC0"/>
    <w:pPr>
      <w:spacing w:before="120" w:after="120" w:line="240" w:lineRule="auto"/>
      <w:jc w:val="center"/>
    </w:pPr>
    <w:rPr>
      <w:rFonts w:eastAsia="Calibri" w:cs="Times New Roman"/>
      <w:bCs/>
      <w:sz w:val="20"/>
      <w:szCs w:val="18"/>
    </w:rPr>
  </w:style>
  <w:style w:type="paragraph" w:styleId="Title">
    <w:name w:val="Title"/>
    <w:basedOn w:val="Normal"/>
    <w:next w:val="Normal"/>
    <w:link w:val="TitleChar"/>
    <w:uiPriority w:val="10"/>
    <w:qFormat/>
    <w:rsid w:val="00BE0EC0"/>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0EC0"/>
    <w:rPr>
      <w:rFonts w:asciiTheme="majorHAnsi" w:eastAsiaTheme="majorEastAsia" w:hAnsiTheme="majorHAnsi" w:cstheme="majorBidi"/>
      <w:spacing w:val="-10"/>
      <w:kern w:val="28"/>
      <w:sz w:val="56"/>
      <w:szCs w:val="56"/>
    </w:rPr>
  </w:style>
  <w:style w:type="paragraph" w:styleId="Subtitle">
    <w:name w:val="Subtitle"/>
    <w:aliases w:val="MCP Heading 2"/>
    <w:basedOn w:val="Heading2"/>
    <w:next w:val="Normal"/>
    <w:link w:val="SubtitleChar"/>
    <w:uiPriority w:val="11"/>
    <w:qFormat/>
    <w:rsid w:val="00BE0EC0"/>
    <w:pPr>
      <w:keepNext w:val="0"/>
      <w:keepLines w:val="0"/>
      <w:numPr>
        <w:numId w:val="4"/>
      </w:numPr>
      <w:spacing w:after="240"/>
      <w:ind w:left="720"/>
    </w:pPr>
    <w:rPr>
      <w:rFonts w:eastAsiaTheme="minorEastAsia" w:cs="Arial"/>
      <w:color w:val="A6192E" w:themeColor="accent1"/>
      <w:sz w:val="32"/>
      <w:szCs w:val="23"/>
    </w:rPr>
  </w:style>
  <w:style w:type="character" w:customStyle="1" w:styleId="SubtitleChar">
    <w:name w:val="Subtitle Char"/>
    <w:aliases w:val="MCP Heading 2 Char"/>
    <w:basedOn w:val="DefaultParagraphFont"/>
    <w:link w:val="Subtitle"/>
    <w:uiPriority w:val="11"/>
    <w:rsid w:val="00BE0EC0"/>
    <w:rPr>
      <w:rFonts w:eastAsiaTheme="minorEastAsia" w:cs="Arial"/>
      <w:color w:val="A6192E" w:themeColor="accent1"/>
      <w:sz w:val="32"/>
      <w:szCs w:val="23"/>
    </w:rPr>
  </w:style>
  <w:style w:type="character" w:customStyle="1" w:styleId="ListParagraphChar">
    <w:name w:val="List Paragraph Char"/>
    <w:aliases w:val="Alpha List Paragraph Char,Appendicies Char"/>
    <w:link w:val="ListParagraph"/>
    <w:uiPriority w:val="34"/>
    <w:locked/>
    <w:rsid w:val="00BE0EC0"/>
    <w:rPr>
      <w:rFonts w:ascii="Arial" w:eastAsia="Calibri" w:hAnsi="Arial" w:cs="Arial"/>
      <w:color w:val="000000" w:themeColor="text1"/>
      <w:sz w:val="22"/>
      <w:szCs w:val="20"/>
    </w:rPr>
  </w:style>
  <w:style w:type="character" w:styleId="SubtleEmphasis">
    <w:name w:val="Subtle Emphasis"/>
    <w:aliases w:val="MCP Sidebar Header"/>
    <w:uiPriority w:val="19"/>
    <w:qFormat/>
    <w:rsid w:val="00BE0EC0"/>
    <w:rPr>
      <w:rFonts w:ascii="Arial" w:hAnsi="Arial" w:cs="Arial"/>
      <w:color w:val="3EB1C8"/>
      <w:sz w:val="18"/>
      <w:szCs w:val="18"/>
    </w:rPr>
  </w:style>
  <w:style w:type="character" w:styleId="IntenseEmphasis">
    <w:name w:val="Intense Emphasis"/>
    <w:basedOn w:val="DefaultParagraphFont"/>
    <w:uiPriority w:val="21"/>
    <w:qFormat/>
    <w:rsid w:val="00BE0EC0"/>
    <w:rPr>
      <w:i/>
      <w:iCs/>
      <w:color w:val="A6192E" w:themeColor="accent1"/>
    </w:rPr>
  </w:style>
  <w:style w:type="character" w:styleId="SubtleReference">
    <w:name w:val="Subtle Reference"/>
    <w:basedOn w:val="DefaultParagraphFont"/>
    <w:uiPriority w:val="31"/>
    <w:qFormat/>
    <w:rsid w:val="00BE0EC0"/>
    <w:rPr>
      <w:smallCaps/>
      <w:color w:val="5A5A5A" w:themeColor="text1" w:themeTint="A5"/>
    </w:rPr>
  </w:style>
  <w:style w:type="paragraph" w:styleId="BalloonText">
    <w:name w:val="Balloon Text"/>
    <w:basedOn w:val="Normal"/>
    <w:link w:val="BalloonTextChar"/>
    <w:uiPriority w:val="99"/>
    <w:semiHidden/>
    <w:unhideWhenUsed/>
    <w:rsid w:val="009B08C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08C2"/>
    <w:rPr>
      <w:rFonts w:ascii="Segoe UI" w:hAnsi="Segoe UI" w:cs="Segoe UI"/>
      <w:sz w:val="18"/>
      <w:szCs w:val="18"/>
    </w:rPr>
  </w:style>
  <w:style w:type="paragraph" w:styleId="FootnoteText">
    <w:name w:val="footnote text"/>
    <w:basedOn w:val="Normal"/>
    <w:link w:val="FootnoteTextChar"/>
    <w:semiHidden/>
    <w:rsid w:val="006B6DE3"/>
    <w:pPr>
      <w:spacing w:line="240" w:lineRule="auto"/>
    </w:pPr>
    <w:rPr>
      <w:rFonts w:eastAsia="Times New Roman"/>
      <w:sz w:val="20"/>
      <w:szCs w:val="20"/>
    </w:rPr>
  </w:style>
  <w:style w:type="character" w:customStyle="1" w:styleId="FootnoteTextChar">
    <w:name w:val="Footnote Text Char"/>
    <w:basedOn w:val="DefaultParagraphFont"/>
    <w:link w:val="FootnoteText"/>
    <w:semiHidden/>
    <w:rsid w:val="006B6DE3"/>
    <w:rPr>
      <w:rFonts w:eastAsia="Times New Roman" w:cs="Arial"/>
      <w:sz w:val="20"/>
      <w:szCs w:val="20"/>
    </w:rPr>
  </w:style>
  <w:style w:type="character" w:styleId="FootnoteReference">
    <w:name w:val="footnote reference"/>
    <w:basedOn w:val="DefaultParagraphFont"/>
    <w:uiPriority w:val="99"/>
    <w:semiHidden/>
    <w:rsid w:val="006B6DE3"/>
    <w:rPr>
      <w:vertAlign w:val="superscript"/>
    </w:rPr>
  </w:style>
  <w:style w:type="paragraph" w:styleId="Header">
    <w:name w:val="header"/>
    <w:basedOn w:val="Normal"/>
    <w:link w:val="HeaderChar"/>
    <w:uiPriority w:val="99"/>
    <w:unhideWhenUsed/>
    <w:rsid w:val="00AA7DCB"/>
    <w:pPr>
      <w:tabs>
        <w:tab w:val="center" w:pos="4680"/>
        <w:tab w:val="right" w:pos="9360"/>
      </w:tabs>
      <w:spacing w:line="240" w:lineRule="auto"/>
    </w:pPr>
  </w:style>
  <w:style w:type="character" w:customStyle="1" w:styleId="HeaderChar">
    <w:name w:val="Header Char"/>
    <w:basedOn w:val="DefaultParagraphFont"/>
    <w:link w:val="Header"/>
    <w:uiPriority w:val="99"/>
    <w:rsid w:val="00AA7DCB"/>
    <w:rPr>
      <w:rFonts w:ascii="Arial" w:hAnsi="Arial" w:cs="Arial"/>
      <w:sz w:val="21"/>
      <w:szCs w:val="21"/>
    </w:rPr>
  </w:style>
  <w:style w:type="table" w:styleId="TableGrid">
    <w:name w:val="Table Grid"/>
    <w:basedOn w:val="TableNormal"/>
    <w:uiPriority w:val="59"/>
    <w:rsid w:val="00D11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9096E"/>
    <w:rPr>
      <w:sz w:val="16"/>
      <w:szCs w:val="16"/>
    </w:rPr>
  </w:style>
  <w:style w:type="paragraph" w:styleId="CommentText">
    <w:name w:val="annotation text"/>
    <w:basedOn w:val="Normal"/>
    <w:link w:val="CommentTextChar"/>
    <w:uiPriority w:val="99"/>
    <w:unhideWhenUsed/>
    <w:rsid w:val="0029096E"/>
    <w:pPr>
      <w:spacing w:line="240" w:lineRule="auto"/>
    </w:pPr>
    <w:rPr>
      <w:sz w:val="20"/>
      <w:szCs w:val="20"/>
    </w:rPr>
  </w:style>
  <w:style w:type="character" w:customStyle="1" w:styleId="CommentTextChar">
    <w:name w:val="Comment Text Char"/>
    <w:basedOn w:val="DefaultParagraphFont"/>
    <w:link w:val="CommentText"/>
    <w:uiPriority w:val="99"/>
    <w:rsid w:val="0029096E"/>
    <w:rPr>
      <w:rFonts w:cs="Arial"/>
      <w:sz w:val="20"/>
      <w:szCs w:val="20"/>
    </w:rPr>
  </w:style>
  <w:style w:type="paragraph" w:styleId="CommentSubject">
    <w:name w:val="annotation subject"/>
    <w:basedOn w:val="CommentText"/>
    <w:next w:val="CommentText"/>
    <w:link w:val="CommentSubjectChar"/>
    <w:uiPriority w:val="99"/>
    <w:semiHidden/>
    <w:unhideWhenUsed/>
    <w:rsid w:val="0029096E"/>
    <w:rPr>
      <w:b/>
      <w:bCs/>
    </w:rPr>
  </w:style>
  <w:style w:type="character" w:customStyle="1" w:styleId="CommentSubjectChar">
    <w:name w:val="Comment Subject Char"/>
    <w:basedOn w:val="CommentTextChar"/>
    <w:link w:val="CommentSubject"/>
    <w:uiPriority w:val="99"/>
    <w:semiHidden/>
    <w:rsid w:val="0029096E"/>
    <w:rPr>
      <w:rFonts w:cs="Arial"/>
      <w:b/>
      <w:bCs/>
      <w:sz w:val="20"/>
      <w:szCs w:val="20"/>
    </w:rPr>
  </w:style>
  <w:style w:type="paragraph" w:styleId="Revision">
    <w:name w:val="Revision"/>
    <w:hidden/>
    <w:uiPriority w:val="99"/>
    <w:semiHidden/>
    <w:rsid w:val="00257EF7"/>
    <w:rPr>
      <w:rFonts w:cs="Arial"/>
      <w:sz w:val="22"/>
      <w:szCs w:val="21"/>
    </w:rPr>
  </w:style>
  <w:style w:type="character" w:styleId="Hyperlink">
    <w:name w:val="Hyperlink"/>
    <w:basedOn w:val="DefaultParagraphFont"/>
    <w:uiPriority w:val="99"/>
    <w:unhideWhenUsed/>
    <w:rsid w:val="008F00E1"/>
    <w:rPr>
      <w:color w:val="165C7D" w:themeColor="hyperlink"/>
      <w:u w:val="single"/>
    </w:rPr>
  </w:style>
  <w:style w:type="character" w:customStyle="1" w:styleId="UnresolvedMention1">
    <w:name w:val="Unresolved Mention1"/>
    <w:basedOn w:val="DefaultParagraphFont"/>
    <w:uiPriority w:val="99"/>
    <w:semiHidden/>
    <w:unhideWhenUsed/>
    <w:rsid w:val="008F00E1"/>
    <w:rPr>
      <w:color w:val="605E5C"/>
      <w:shd w:val="clear" w:color="auto" w:fill="E1DFDD"/>
    </w:rPr>
  </w:style>
  <w:style w:type="character" w:styleId="FollowedHyperlink">
    <w:name w:val="FollowedHyperlink"/>
    <w:basedOn w:val="DefaultParagraphFont"/>
    <w:uiPriority w:val="99"/>
    <w:semiHidden/>
    <w:unhideWhenUsed/>
    <w:rsid w:val="00A969AD"/>
    <w:rPr>
      <w:color w:val="165C7D" w:themeColor="followedHyperlink"/>
      <w:u w:val="single"/>
    </w:rPr>
  </w:style>
  <w:style w:type="character" w:customStyle="1" w:styleId="Mention1">
    <w:name w:val="Mention1"/>
    <w:basedOn w:val="DefaultParagraphFont"/>
    <w:uiPriority w:val="99"/>
    <w:semiHidden/>
    <w:unhideWhenUsed/>
    <w:rsid w:val="002E4894"/>
    <w:rPr>
      <w:color w:val="2B579A"/>
      <w:shd w:val="clear" w:color="auto" w:fill="E6E6E6"/>
    </w:rPr>
  </w:style>
  <w:style w:type="character" w:customStyle="1" w:styleId="UnresolvedMention2">
    <w:name w:val="Unresolved Mention2"/>
    <w:basedOn w:val="DefaultParagraphFont"/>
    <w:uiPriority w:val="99"/>
    <w:semiHidden/>
    <w:unhideWhenUsed/>
    <w:rsid w:val="00AD7C12"/>
    <w:rPr>
      <w:color w:val="605E5C"/>
      <w:shd w:val="clear" w:color="auto" w:fill="E1DFDD"/>
    </w:rPr>
  </w:style>
  <w:style w:type="character" w:styleId="Strong">
    <w:name w:val="Strong"/>
    <w:basedOn w:val="DefaultParagraphFont"/>
    <w:uiPriority w:val="22"/>
    <w:qFormat/>
    <w:rsid w:val="00737DF5"/>
    <w:rPr>
      <w:b/>
      <w:bCs/>
    </w:rPr>
  </w:style>
  <w:style w:type="character" w:customStyle="1" w:styleId="UnresolvedMention20">
    <w:name w:val="Unresolved Mention2"/>
    <w:basedOn w:val="DefaultParagraphFont"/>
    <w:uiPriority w:val="99"/>
    <w:semiHidden/>
    <w:unhideWhenUsed/>
    <w:rsid w:val="0045018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7E3"/>
    <w:pPr>
      <w:spacing w:line="276" w:lineRule="auto"/>
    </w:pPr>
    <w:rPr>
      <w:rFonts w:cs="Arial"/>
      <w:sz w:val="22"/>
      <w:szCs w:val="21"/>
    </w:rPr>
  </w:style>
  <w:style w:type="paragraph" w:styleId="Heading1">
    <w:name w:val="heading 1"/>
    <w:aliases w:val="Heading 1 MCP"/>
    <w:basedOn w:val="Normal"/>
    <w:link w:val="Heading1Char"/>
    <w:uiPriority w:val="9"/>
    <w:qFormat/>
    <w:rsid w:val="00FE77E3"/>
    <w:pPr>
      <w:keepNext/>
      <w:keepLines/>
      <w:numPr>
        <w:numId w:val="1"/>
      </w:numPr>
      <w:spacing w:after="240"/>
      <w:outlineLvl w:val="0"/>
    </w:pPr>
    <w:rPr>
      <w:rFonts w:asciiTheme="majorHAnsi" w:eastAsiaTheme="majorEastAsia" w:hAnsiTheme="majorHAnsi" w:cstheme="majorBidi"/>
      <w:sz w:val="32"/>
      <w:szCs w:val="32"/>
    </w:rPr>
  </w:style>
  <w:style w:type="paragraph" w:styleId="Heading2">
    <w:name w:val="heading 2"/>
    <w:aliases w:val="Heading 2 MCP"/>
    <w:basedOn w:val="Normal"/>
    <w:next w:val="Normal"/>
    <w:link w:val="Heading2Char"/>
    <w:uiPriority w:val="9"/>
    <w:unhideWhenUsed/>
    <w:qFormat/>
    <w:rsid w:val="00BE0EC0"/>
    <w:pPr>
      <w:keepNext/>
      <w:keepLines/>
      <w:numPr>
        <w:ilvl w:val="1"/>
        <w:numId w:val="1"/>
      </w:numPr>
      <w:outlineLvl w:val="1"/>
    </w:pPr>
    <w:rPr>
      <w:rFonts w:eastAsiaTheme="majorEastAsia" w:cstheme="majorBidi"/>
      <w:color w:val="3EB1C8" w:themeColor="accent3"/>
      <w:sz w:val="23"/>
      <w:szCs w:val="26"/>
    </w:rPr>
  </w:style>
  <w:style w:type="paragraph" w:styleId="Heading3">
    <w:name w:val="heading 3"/>
    <w:aliases w:val="Heading 3 MCP"/>
    <w:basedOn w:val="Normal"/>
    <w:next w:val="Normal"/>
    <w:link w:val="Heading3Char"/>
    <w:uiPriority w:val="9"/>
    <w:unhideWhenUsed/>
    <w:qFormat/>
    <w:rsid w:val="00BE0EC0"/>
    <w:pPr>
      <w:keepNext/>
      <w:keepLines/>
      <w:numPr>
        <w:ilvl w:val="2"/>
        <w:numId w:val="1"/>
      </w:numPr>
      <w:outlineLvl w:val="2"/>
    </w:pPr>
    <w:rPr>
      <w:rFonts w:eastAsiaTheme="majorEastAsia" w:cstheme="majorBidi"/>
      <w:color w:val="000000" w:themeColor="text1"/>
      <w:szCs w:val="24"/>
    </w:rPr>
  </w:style>
  <w:style w:type="paragraph" w:styleId="Heading4">
    <w:name w:val="heading 4"/>
    <w:aliases w:val="Heading 4 MCP"/>
    <w:basedOn w:val="Normal"/>
    <w:next w:val="Normal"/>
    <w:link w:val="Heading4Char"/>
    <w:uiPriority w:val="9"/>
    <w:unhideWhenUsed/>
    <w:qFormat/>
    <w:rsid w:val="00BE0EC0"/>
    <w:pPr>
      <w:keepNext/>
      <w:keepLines/>
      <w:numPr>
        <w:ilvl w:val="3"/>
        <w:numId w:val="1"/>
      </w:numPr>
      <w:outlineLvl w:val="3"/>
    </w:pPr>
    <w:rPr>
      <w:rFonts w:asciiTheme="majorHAnsi" w:eastAsiaTheme="majorEastAsia" w:hAnsiTheme="majorHAnsi" w:cstheme="majorBidi"/>
      <w:iCs/>
      <w:color w:val="000000" w:themeColor="text1"/>
    </w:rPr>
  </w:style>
  <w:style w:type="paragraph" w:styleId="Heading5">
    <w:name w:val="heading 5"/>
    <w:basedOn w:val="Normal"/>
    <w:next w:val="Normal"/>
    <w:link w:val="Heading5Char"/>
    <w:uiPriority w:val="9"/>
    <w:unhideWhenUsed/>
    <w:qFormat/>
    <w:rsid w:val="00BE0EC0"/>
    <w:pPr>
      <w:keepNext/>
      <w:keepLines/>
      <w:numPr>
        <w:ilvl w:val="4"/>
        <w:numId w:val="1"/>
      </w:numPr>
      <w:contextualSpacing/>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unhideWhenUsed/>
    <w:qFormat/>
    <w:rsid w:val="00BE0EC0"/>
    <w:pPr>
      <w:keepNext/>
      <w:keepLines/>
      <w:numPr>
        <w:ilvl w:val="5"/>
        <w:numId w:val="1"/>
      </w:numPr>
      <w:contextualSpacing/>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BE0EC0"/>
    <w:pPr>
      <w:keepNext/>
      <w:keepLines/>
      <w:numPr>
        <w:ilvl w:val="6"/>
        <w:numId w:val="1"/>
      </w:numPr>
      <w:spacing w:before="40"/>
      <w:outlineLvl w:val="6"/>
    </w:pPr>
    <w:rPr>
      <w:rFonts w:asciiTheme="majorHAnsi" w:eastAsiaTheme="majorEastAsia" w:hAnsiTheme="majorHAnsi" w:cstheme="majorBidi"/>
      <w:i/>
      <w:iCs/>
      <w:color w:val="520C16" w:themeColor="accent1" w:themeShade="7F"/>
    </w:rPr>
  </w:style>
  <w:style w:type="paragraph" w:styleId="Heading8">
    <w:name w:val="heading 8"/>
    <w:basedOn w:val="Normal"/>
    <w:next w:val="Normal"/>
    <w:link w:val="Heading8Char"/>
    <w:uiPriority w:val="9"/>
    <w:semiHidden/>
    <w:unhideWhenUsed/>
    <w:qFormat/>
    <w:rsid w:val="00BE0EC0"/>
    <w:pPr>
      <w:keepNext/>
      <w:keepLines/>
      <w:numPr>
        <w:ilvl w:val="7"/>
        <w:numId w:val="1"/>
      </w:numPr>
      <w:spacing w:before="4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
    <w:uiPriority w:val="9"/>
    <w:semiHidden/>
    <w:unhideWhenUsed/>
    <w:qFormat/>
    <w:rsid w:val="00BE0EC0"/>
    <w:pPr>
      <w:keepNext/>
      <w:keepLines/>
      <w:numPr>
        <w:ilvl w:val="8"/>
        <w:numId w:val="1"/>
      </w:numPr>
      <w:spacing w:before="4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PBullet1">
    <w:name w:val="MCP Bullet 1"/>
    <w:basedOn w:val="ListParagraph"/>
    <w:link w:val="MCPBullet1Char"/>
    <w:qFormat/>
    <w:rsid w:val="00BE0EC0"/>
    <w:pPr>
      <w:numPr>
        <w:numId w:val="3"/>
      </w:numPr>
      <w:ind w:left="360" w:hanging="360"/>
    </w:pPr>
    <w:rPr>
      <w:rFonts w:cstheme="majorHAnsi"/>
      <w:sz w:val="21"/>
      <w:szCs w:val="21"/>
    </w:rPr>
  </w:style>
  <w:style w:type="character" w:customStyle="1" w:styleId="MCPBullet1Char">
    <w:name w:val="MCP Bullet 1 Char"/>
    <w:basedOn w:val="ListParagraphChar"/>
    <w:link w:val="MCPBullet1"/>
    <w:rsid w:val="00BE0EC0"/>
    <w:rPr>
      <w:rFonts w:ascii="Arial" w:eastAsia="Calibri" w:hAnsi="Arial" w:cstheme="majorHAnsi"/>
      <w:color w:val="000000" w:themeColor="text1"/>
      <w:sz w:val="21"/>
      <w:szCs w:val="21"/>
    </w:rPr>
  </w:style>
  <w:style w:type="paragraph" w:styleId="ListParagraph">
    <w:name w:val="List Paragraph"/>
    <w:aliases w:val="Alpha List Paragraph,Appendicies"/>
    <w:basedOn w:val="Normal"/>
    <w:link w:val="ListParagraphChar"/>
    <w:uiPriority w:val="34"/>
    <w:qFormat/>
    <w:rsid w:val="00BE0EC0"/>
    <w:pPr>
      <w:ind w:left="720"/>
      <w:contextualSpacing/>
    </w:pPr>
    <w:rPr>
      <w:rFonts w:eastAsia="Calibri"/>
      <w:color w:val="000000" w:themeColor="text1"/>
      <w:szCs w:val="20"/>
    </w:rPr>
  </w:style>
  <w:style w:type="paragraph" w:customStyle="1" w:styleId="MCPAppendix">
    <w:name w:val="MCP Appendix"/>
    <w:basedOn w:val="Normal"/>
    <w:qFormat/>
    <w:rsid w:val="00BE0EC0"/>
    <w:pPr>
      <w:spacing w:after="360"/>
    </w:pPr>
    <w:rPr>
      <w:color w:val="3EB1C8" w:themeColor="accent3"/>
      <w:sz w:val="32"/>
    </w:rPr>
  </w:style>
  <w:style w:type="paragraph" w:customStyle="1" w:styleId="FooterMCPPage">
    <w:name w:val="Footer MCP Page #"/>
    <w:basedOn w:val="Footer"/>
    <w:qFormat/>
    <w:rsid w:val="00BE0EC0"/>
    <w:pPr>
      <w:tabs>
        <w:tab w:val="clear" w:pos="9360"/>
        <w:tab w:val="right" w:pos="9720"/>
      </w:tabs>
      <w:jc w:val="center"/>
    </w:pPr>
    <w:rPr>
      <w:color w:val="000000" w:themeColor="text1"/>
      <w:sz w:val="16"/>
    </w:rPr>
  </w:style>
  <w:style w:type="paragraph" w:styleId="Footer">
    <w:name w:val="footer"/>
    <w:basedOn w:val="Normal"/>
    <w:link w:val="FooterChar"/>
    <w:uiPriority w:val="99"/>
    <w:unhideWhenUsed/>
    <w:rsid w:val="00BE0EC0"/>
    <w:pPr>
      <w:tabs>
        <w:tab w:val="center" w:pos="4680"/>
        <w:tab w:val="right" w:pos="9360"/>
      </w:tabs>
    </w:pPr>
  </w:style>
  <w:style w:type="character" w:customStyle="1" w:styleId="FooterChar">
    <w:name w:val="Footer Char"/>
    <w:basedOn w:val="DefaultParagraphFont"/>
    <w:link w:val="Footer"/>
    <w:uiPriority w:val="99"/>
    <w:rsid w:val="00BE0EC0"/>
  </w:style>
  <w:style w:type="paragraph" w:customStyle="1" w:styleId="FooterMCPwebsite">
    <w:name w:val="Footer MCP website"/>
    <w:basedOn w:val="Normal"/>
    <w:qFormat/>
    <w:rsid w:val="00BE0EC0"/>
    <w:pPr>
      <w:widowControl w:val="0"/>
      <w:autoSpaceDE w:val="0"/>
      <w:autoSpaceDN w:val="0"/>
      <w:adjustRightInd w:val="0"/>
      <w:spacing w:line="360" w:lineRule="auto"/>
      <w:jc w:val="center"/>
      <w:textAlignment w:val="center"/>
    </w:pPr>
    <w:rPr>
      <w:rFonts w:cs="Univers-Bold"/>
      <w:b/>
      <w:bCs/>
      <w:color w:val="A6192E" w:themeColor="accent1"/>
      <w:spacing w:val="2"/>
      <w:sz w:val="16"/>
      <w:szCs w:val="16"/>
    </w:rPr>
  </w:style>
  <w:style w:type="paragraph" w:customStyle="1" w:styleId="FooterMCPAddress">
    <w:name w:val="Footer MCP Address"/>
    <w:basedOn w:val="Normal"/>
    <w:qFormat/>
    <w:rsid w:val="00BE0EC0"/>
    <w:pPr>
      <w:widowControl w:val="0"/>
      <w:autoSpaceDE w:val="0"/>
      <w:autoSpaceDN w:val="0"/>
      <w:adjustRightInd w:val="0"/>
      <w:spacing w:line="288" w:lineRule="auto"/>
      <w:ind w:left="720"/>
      <w:jc w:val="center"/>
      <w:textAlignment w:val="center"/>
    </w:pPr>
    <w:rPr>
      <w:color w:val="5D5E5E" w:themeColor="text2"/>
      <w:spacing w:val="2"/>
      <w:sz w:val="16"/>
      <w:szCs w:val="16"/>
    </w:rPr>
  </w:style>
  <w:style w:type="paragraph" w:customStyle="1" w:styleId="MCPBullet2">
    <w:name w:val="MCP Bullet 2"/>
    <w:basedOn w:val="ListParagraph"/>
    <w:qFormat/>
    <w:rsid w:val="00450188"/>
    <w:pPr>
      <w:numPr>
        <w:ilvl w:val="1"/>
        <w:numId w:val="2"/>
      </w:numPr>
    </w:pPr>
    <w:rPr>
      <w:rFonts w:cs="Times New Roman"/>
      <w:szCs w:val="21"/>
    </w:rPr>
  </w:style>
  <w:style w:type="paragraph" w:customStyle="1" w:styleId="MCPBullet3">
    <w:name w:val="MCP Bullet 3"/>
    <w:basedOn w:val="MCPBullet2"/>
    <w:qFormat/>
    <w:rsid w:val="00BE0EC0"/>
    <w:pPr>
      <w:numPr>
        <w:ilvl w:val="2"/>
      </w:numPr>
    </w:pPr>
  </w:style>
  <w:style w:type="paragraph" w:customStyle="1" w:styleId="MCPBullet4">
    <w:name w:val="MCP Bullet 4"/>
    <w:basedOn w:val="MCPBullet3"/>
    <w:qFormat/>
    <w:rsid w:val="00BE0EC0"/>
    <w:pPr>
      <w:numPr>
        <w:ilvl w:val="3"/>
      </w:numPr>
    </w:pPr>
  </w:style>
  <w:style w:type="paragraph" w:customStyle="1" w:styleId="MCPCoverHeading1">
    <w:name w:val="MCP Cover Heading 1"/>
    <w:basedOn w:val="Normal"/>
    <w:link w:val="MCPCoverHeading1Char"/>
    <w:qFormat/>
    <w:rsid w:val="00BE0EC0"/>
    <w:pPr>
      <w:jc w:val="center"/>
    </w:pPr>
    <w:rPr>
      <w:color w:val="A6192E" w:themeColor="accent1"/>
      <w:sz w:val="36"/>
      <w:szCs w:val="36"/>
    </w:rPr>
  </w:style>
  <w:style w:type="character" w:customStyle="1" w:styleId="MCPCoverHeading1Char">
    <w:name w:val="MCP Cover Heading 1 Char"/>
    <w:basedOn w:val="DefaultParagraphFont"/>
    <w:link w:val="MCPCoverHeading1"/>
    <w:rsid w:val="00BE0EC0"/>
    <w:rPr>
      <w:rFonts w:ascii="Arial" w:hAnsi="Arial" w:cs="Arial"/>
      <w:color w:val="A6192E" w:themeColor="accent1"/>
      <w:sz w:val="36"/>
      <w:szCs w:val="36"/>
    </w:rPr>
  </w:style>
  <w:style w:type="paragraph" w:customStyle="1" w:styleId="MCPCoverHeading2">
    <w:name w:val="MCP Cover Heading 2"/>
    <w:basedOn w:val="Normal"/>
    <w:link w:val="MCPCoverHeading2Char"/>
    <w:qFormat/>
    <w:rsid w:val="00BE0EC0"/>
    <w:pPr>
      <w:spacing w:after="360"/>
      <w:jc w:val="center"/>
    </w:pPr>
    <w:rPr>
      <w:color w:val="000000" w:themeColor="text1"/>
      <w:sz w:val="36"/>
      <w:szCs w:val="36"/>
    </w:rPr>
  </w:style>
  <w:style w:type="character" w:customStyle="1" w:styleId="MCPCoverHeading2Char">
    <w:name w:val="MCP Cover Heading 2 Char"/>
    <w:basedOn w:val="DefaultParagraphFont"/>
    <w:link w:val="MCPCoverHeading2"/>
    <w:rsid w:val="00BE0EC0"/>
    <w:rPr>
      <w:rFonts w:ascii="Arial" w:hAnsi="Arial" w:cs="Arial"/>
      <w:color w:val="000000" w:themeColor="text1"/>
      <w:sz w:val="36"/>
      <w:szCs w:val="36"/>
    </w:rPr>
  </w:style>
  <w:style w:type="paragraph" w:customStyle="1" w:styleId="MCPTOCHeading">
    <w:name w:val="MCP TOC Heading"/>
    <w:basedOn w:val="TOCHeading"/>
    <w:qFormat/>
    <w:rsid w:val="00BE0EC0"/>
  </w:style>
  <w:style w:type="character" w:customStyle="1" w:styleId="Heading1Char">
    <w:name w:val="Heading 1 Char"/>
    <w:aliases w:val="Heading 1 MCP Char"/>
    <w:basedOn w:val="DefaultParagraphFont"/>
    <w:link w:val="Heading1"/>
    <w:uiPriority w:val="9"/>
    <w:rsid w:val="00FE77E3"/>
    <w:rPr>
      <w:rFonts w:asciiTheme="majorHAnsi" w:eastAsiaTheme="majorEastAsia" w:hAnsiTheme="majorHAnsi" w:cstheme="majorBidi"/>
      <w:sz w:val="32"/>
      <w:szCs w:val="32"/>
    </w:rPr>
  </w:style>
  <w:style w:type="paragraph" w:styleId="TOCHeading">
    <w:name w:val="TOC Heading"/>
    <w:aliases w:val="MCP,TOC Heading MCP"/>
    <w:basedOn w:val="Heading1"/>
    <w:next w:val="Normal"/>
    <w:uiPriority w:val="39"/>
    <w:unhideWhenUsed/>
    <w:qFormat/>
    <w:rsid w:val="00BE0EC0"/>
    <w:pPr>
      <w:numPr>
        <w:numId w:val="0"/>
      </w:numPr>
      <w:spacing w:after="480" w:line="259" w:lineRule="auto"/>
      <w:outlineLvl w:val="9"/>
    </w:pPr>
  </w:style>
  <w:style w:type="paragraph" w:customStyle="1" w:styleId="MCPCoverHeading3">
    <w:name w:val="MCP Cover Heading 3"/>
    <w:basedOn w:val="Normal"/>
    <w:link w:val="MCPCoverHeading3Char"/>
    <w:qFormat/>
    <w:rsid w:val="00BE0EC0"/>
    <w:pPr>
      <w:jc w:val="center"/>
    </w:pPr>
    <w:rPr>
      <w:color w:val="828C8E"/>
      <w:sz w:val="28"/>
      <w:szCs w:val="28"/>
    </w:rPr>
  </w:style>
  <w:style w:type="character" w:customStyle="1" w:styleId="MCPCoverHeading3Char">
    <w:name w:val="MCP Cover Heading 3 Char"/>
    <w:basedOn w:val="DefaultParagraphFont"/>
    <w:link w:val="MCPCoverHeading3"/>
    <w:rsid w:val="00BE0EC0"/>
    <w:rPr>
      <w:rFonts w:ascii="Arial" w:hAnsi="Arial" w:cs="Arial"/>
      <w:color w:val="828C8E"/>
      <w:sz w:val="28"/>
      <w:szCs w:val="28"/>
    </w:rPr>
  </w:style>
  <w:style w:type="paragraph" w:customStyle="1" w:styleId="SubtitleHeadingBlue">
    <w:name w:val="Subtitle Heading Blue"/>
    <w:basedOn w:val="Normal"/>
    <w:qFormat/>
    <w:rsid w:val="00BE0EC0"/>
    <w:rPr>
      <w:color w:val="3EB1C8" w:themeColor="accent3"/>
      <w:sz w:val="23"/>
    </w:rPr>
  </w:style>
  <w:style w:type="paragraph" w:customStyle="1" w:styleId="ExecutiveSummary">
    <w:name w:val="Executive Summary"/>
    <w:basedOn w:val="Heading1"/>
    <w:qFormat/>
    <w:rsid w:val="00BE0EC0"/>
    <w:pPr>
      <w:numPr>
        <w:numId w:val="0"/>
      </w:numPr>
    </w:pPr>
  </w:style>
  <w:style w:type="character" w:customStyle="1" w:styleId="Heading2Char">
    <w:name w:val="Heading 2 Char"/>
    <w:aliases w:val="Heading 2 MCP Char"/>
    <w:basedOn w:val="DefaultParagraphFont"/>
    <w:link w:val="Heading2"/>
    <w:uiPriority w:val="9"/>
    <w:rsid w:val="00BE0EC0"/>
    <w:rPr>
      <w:rFonts w:eastAsiaTheme="majorEastAsia" w:cstheme="majorBidi"/>
      <w:color w:val="3EB1C8" w:themeColor="accent3"/>
      <w:sz w:val="23"/>
      <w:szCs w:val="26"/>
    </w:rPr>
  </w:style>
  <w:style w:type="character" w:customStyle="1" w:styleId="Heading3Char">
    <w:name w:val="Heading 3 Char"/>
    <w:aliases w:val="Heading 3 MCP Char"/>
    <w:basedOn w:val="DefaultParagraphFont"/>
    <w:link w:val="Heading3"/>
    <w:uiPriority w:val="9"/>
    <w:rsid w:val="00BE0EC0"/>
    <w:rPr>
      <w:rFonts w:eastAsiaTheme="majorEastAsia" w:cstheme="majorBidi"/>
      <w:color w:val="000000" w:themeColor="text1"/>
      <w:sz w:val="22"/>
    </w:rPr>
  </w:style>
  <w:style w:type="character" w:customStyle="1" w:styleId="Heading4Char">
    <w:name w:val="Heading 4 Char"/>
    <w:aliases w:val="Heading 4 MCP Char"/>
    <w:basedOn w:val="DefaultParagraphFont"/>
    <w:link w:val="Heading4"/>
    <w:uiPriority w:val="9"/>
    <w:rsid w:val="00BE0EC0"/>
    <w:rPr>
      <w:rFonts w:asciiTheme="majorHAnsi" w:eastAsiaTheme="majorEastAsia" w:hAnsiTheme="majorHAnsi" w:cstheme="majorBidi"/>
      <w:iCs/>
      <w:color w:val="000000" w:themeColor="text1"/>
      <w:sz w:val="22"/>
      <w:szCs w:val="21"/>
    </w:rPr>
  </w:style>
  <w:style w:type="character" w:customStyle="1" w:styleId="Heading5Char">
    <w:name w:val="Heading 5 Char"/>
    <w:basedOn w:val="DefaultParagraphFont"/>
    <w:link w:val="Heading5"/>
    <w:uiPriority w:val="9"/>
    <w:rsid w:val="00BE0EC0"/>
    <w:rPr>
      <w:rFonts w:asciiTheme="majorHAnsi" w:eastAsiaTheme="majorEastAsia" w:hAnsiTheme="majorHAnsi" w:cstheme="majorBidi"/>
      <w:color w:val="000000" w:themeColor="text1"/>
      <w:sz w:val="22"/>
      <w:szCs w:val="21"/>
    </w:rPr>
  </w:style>
  <w:style w:type="character" w:customStyle="1" w:styleId="Heading6Char">
    <w:name w:val="Heading 6 Char"/>
    <w:basedOn w:val="DefaultParagraphFont"/>
    <w:link w:val="Heading6"/>
    <w:uiPriority w:val="9"/>
    <w:rsid w:val="00BE0EC0"/>
    <w:rPr>
      <w:rFonts w:asciiTheme="majorHAnsi" w:eastAsiaTheme="majorEastAsia" w:hAnsiTheme="majorHAnsi" w:cstheme="majorBidi"/>
      <w:color w:val="000000" w:themeColor="text1"/>
      <w:sz w:val="22"/>
      <w:szCs w:val="21"/>
    </w:rPr>
  </w:style>
  <w:style w:type="character" w:customStyle="1" w:styleId="Heading7Char">
    <w:name w:val="Heading 7 Char"/>
    <w:basedOn w:val="DefaultParagraphFont"/>
    <w:link w:val="Heading7"/>
    <w:uiPriority w:val="9"/>
    <w:semiHidden/>
    <w:rsid w:val="00BE0EC0"/>
    <w:rPr>
      <w:rFonts w:asciiTheme="majorHAnsi" w:eastAsiaTheme="majorEastAsia" w:hAnsiTheme="majorHAnsi" w:cstheme="majorBidi"/>
      <w:i/>
      <w:iCs/>
      <w:color w:val="520C16" w:themeColor="accent1" w:themeShade="7F"/>
      <w:sz w:val="22"/>
      <w:szCs w:val="21"/>
    </w:rPr>
  </w:style>
  <w:style w:type="character" w:customStyle="1" w:styleId="Heading8Char">
    <w:name w:val="Heading 8 Char"/>
    <w:basedOn w:val="DefaultParagraphFont"/>
    <w:link w:val="Heading8"/>
    <w:uiPriority w:val="9"/>
    <w:semiHidden/>
    <w:rsid w:val="00BE0EC0"/>
    <w:rPr>
      <w:rFonts w:asciiTheme="majorHAnsi" w:eastAsiaTheme="majorEastAsia" w:hAnsiTheme="majorHAnsi" w:cstheme="majorBidi"/>
      <w:color w:val="272727" w:themeColor="text1" w:themeTint="D8"/>
      <w:sz w:val="22"/>
      <w:szCs w:val="21"/>
    </w:rPr>
  </w:style>
  <w:style w:type="character" w:customStyle="1" w:styleId="Heading9Char">
    <w:name w:val="Heading 9 Char"/>
    <w:basedOn w:val="DefaultParagraphFont"/>
    <w:link w:val="Heading9"/>
    <w:uiPriority w:val="9"/>
    <w:semiHidden/>
    <w:rsid w:val="00BE0EC0"/>
    <w:rPr>
      <w:rFonts w:asciiTheme="majorHAnsi" w:eastAsiaTheme="majorEastAsia" w:hAnsiTheme="majorHAnsi" w:cstheme="majorBidi"/>
      <w:i/>
      <w:iCs/>
      <w:color w:val="272727" w:themeColor="text1" w:themeTint="D8"/>
      <w:sz w:val="22"/>
      <w:szCs w:val="21"/>
    </w:rPr>
  </w:style>
  <w:style w:type="paragraph" w:styleId="Caption">
    <w:name w:val="caption"/>
    <w:basedOn w:val="Normal"/>
    <w:next w:val="Normal"/>
    <w:uiPriority w:val="35"/>
    <w:unhideWhenUsed/>
    <w:qFormat/>
    <w:rsid w:val="00BE0EC0"/>
    <w:pPr>
      <w:spacing w:before="120" w:after="120" w:line="240" w:lineRule="auto"/>
      <w:jc w:val="center"/>
    </w:pPr>
    <w:rPr>
      <w:rFonts w:eastAsia="Calibri" w:cs="Times New Roman"/>
      <w:bCs/>
      <w:sz w:val="20"/>
      <w:szCs w:val="18"/>
    </w:rPr>
  </w:style>
  <w:style w:type="paragraph" w:styleId="Title">
    <w:name w:val="Title"/>
    <w:basedOn w:val="Normal"/>
    <w:next w:val="Normal"/>
    <w:link w:val="TitleChar"/>
    <w:uiPriority w:val="10"/>
    <w:qFormat/>
    <w:rsid w:val="00BE0EC0"/>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0EC0"/>
    <w:rPr>
      <w:rFonts w:asciiTheme="majorHAnsi" w:eastAsiaTheme="majorEastAsia" w:hAnsiTheme="majorHAnsi" w:cstheme="majorBidi"/>
      <w:spacing w:val="-10"/>
      <w:kern w:val="28"/>
      <w:sz w:val="56"/>
      <w:szCs w:val="56"/>
    </w:rPr>
  </w:style>
  <w:style w:type="paragraph" w:styleId="Subtitle">
    <w:name w:val="Subtitle"/>
    <w:aliases w:val="MCP Heading 2"/>
    <w:basedOn w:val="Heading2"/>
    <w:next w:val="Normal"/>
    <w:link w:val="SubtitleChar"/>
    <w:uiPriority w:val="11"/>
    <w:qFormat/>
    <w:rsid w:val="00BE0EC0"/>
    <w:pPr>
      <w:keepNext w:val="0"/>
      <w:keepLines w:val="0"/>
      <w:numPr>
        <w:numId w:val="4"/>
      </w:numPr>
      <w:spacing w:after="240"/>
      <w:ind w:left="720"/>
    </w:pPr>
    <w:rPr>
      <w:rFonts w:eastAsiaTheme="minorEastAsia" w:cs="Arial"/>
      <w:color w:val="A6192E" w:themeColor="accent1"/>
      <w:sz w:val="32"/>
      <w:szCs w:val="23"/>
    </w:rPr>
  </w:style>
  <w:style w:type="character" w:customStyle="1" w:styleId="SubtitleChar">
    <w:name w:val="Subtitle Char"/>
    <w:aliases w:val="MCP Heading 2 Char"/>
    <w:basedOn w:val="DefaultParagraphFont"/>
    <w:link w:val="Subtitle"/>
    <w:uiPriority w:val="11"/>
    <w:rsid w:val="00BE0EC0"/>
    <w:rPr>
      <w:rFonts w:eastAsiaTheme="minorEastAsia" w:cs="Arial"/>
      <w:color w:val="A6192E" w:themeColor="accent1"/>
      <w:sz w:val="32"/>
      <w:szCs w:val="23"/>
    </w:rPr>
  </w:style>
  <w:style w:type="character" w:customStyle="1" w:styleId="ListParagraphChar">
    <w:name w:val="List Paragraph Char"/>
    <w:aliases w:val="Alpha List Paragraph Char,Appendicies Char"/>
    <w:link w:val="ListParagraph"/>
    <w:uiPriority w:val="34"/>
    <w:locked/>
    <w:rsid w:val="00BE0EC0"/>
    <w:rPr>
      <w:rFonts w:ascii="Arial" w:eastAsia="Calibri" w:hAnsi="Arial" w:cs="Arial"/>
      <w:color w:val="000000" w:themeColor="text1"/>
      <w:sz w:val="22"/>
      <w:szCs w:val="20"/>
    </w:rPr>
  </w:style>
  <w:style w:type="character" w:styleId="SubtleEmphasis">
    <w:name w:val="Subtle Emphasis"/>
    <w:aliases w:val="MCP Sidebar Header"/>
    <w:uiPriority w:val="19"/>
    <w:qFormat/>
    <w:rsid w:val="00BE0EC0"/>
    <w:rPr>
      <w:rFonts w:ascii="Arial" w:hAnsi="Arial" w:cs="Arial"/>
      <w:color w:val="3EB1C8"/>
      <w:sz w:val="18"/>
      <w:szCs w:val="18"/>
    </w:rPr>
  </w:style>
  <w:style w:type="character" w:styleId="IntenseEmphasis">
    <w:name w:val="Intense Emphasis"/>
    <w:basedOn w:val="DefaultParagraphFont"/>
    <w:uiPriority w:val="21"/>
    <w:qFormat/>
    <w:rsid w:val="00BE0EC0"/>
    <w:rPr>
      <w:i/>
      <w:iCs/>
      <w:color w:val="A6192E" w:themeColor="accent1"/>
    </w:rPr>
  </w:style>
  <w:style w:type="character" w:styleId="SubtleReference">
    <w:name w:val="Subtle Reference"/>
    <w:basedOn w:val="DefaultParagraphFont"/>
    <w:uiPriority w:val="31"/>
    <w:qFormat/>
    <w:rsid w:val="00BE0EC0"/>
    <w:rPr>
      <w:smallCaps/>
      <w:color w:val="5A5A5A" w:themeColor="text1" w:themeTint="A5"/>
    </w:rPr>
  </w:style>
  <w:style w:type="paragraph" w:styleId="BalloonText">
    <w:name w:val="Balloon Text"/>
    <w:basedOn w:val="Normal"/>
    <w:link w:val="BalloonTextChar"/>
    <w:uiPriority w:val="99"/>
    <w:semiHidden/>
    <w:unhideWhenUsed/>
    <w:rsid w:val="009B08C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08C2"/>
    <w:rPr>
      <w:rFonts w:ascii="Segoe UI" w:hAnsi="Segoe UI" w:cs="Segoe UI"/>
      <w:sz w:val="18"/>
      <w:szCs w:val="18"/>
    </w:rPr>
  </w:style>
  <w:style w:type="paragraph" w:styleId="FootnoteText">
    <w:name w:val="footnote text"/>
    <w:basedOn w:val="Normal"/>
    <w:link w:val="FootnoteTextChar"/>
    <w:semiHidden/>
    <w:rsid w:val="006B6DE3"/>
    <w:pPr>
      <w:spacing w:line="240" w:lineRule="auto"/>
    </w:pPr>
    <w:rPr>
      <w:rFonts w:eastAsia="Times New Roman"/>
      <w:sz w:val="20"/>
      <w:szCs w:val="20"/>
    </w:rPr>
  </w:style>
  <w:style w:type="character" w:customStyle="1" w:styleId="FootnoteTextChar">
    <w:name w:val="Footnote Text Char"/>
    <w:basedOn w:val="DefaultParagraphFont"/>
    <w:link w:val="FootnoteText"/>
    <w:semiHidden/>
    <w:rsid w:val="006B6DE3"/>
    <w:rPr>
      <w:rFonts w:eastAsia="Times New Roman" w:cs="Arial"/>
      <w:sz w:val="20"/>
      <w:szCs w:val="20"/>
    </w:rPr>
  </w:style>
  <w:style w:type="character" w:styleId="FootnoteReference">
    <w:name w:val="footnote reference"/>
    <w:basedOn w:val="DefaultParagraphFont"/>
    <w:uiPriority w:val="99"/>
    <w:semiHidden/>
    <w:rsid w:val="006B6DE3"/>
    <w:rPr>
      <w:vertAlign w:val="superscript"/>
    </w:rPr>
  </w:style>
  <w:style w:type="paragraph" w:styleId="Header">
    <w:name w:val="header"/>
    <w:basedOn w:val="Normal"/>
    <w:link w:val="HeaderChar"/>
    <w:uiPriority w:val="99"/>
    <w:unhideWhenUsed/>
    <w:rsid w:val="00AA7DCB"/>
    <w:pPr>
      <w:tabs>
        <w:tab w:val="center" w:pos="4680"/>
        <w:tab w:val="right" w:pos="9360"/>
      </w:tabs>
      <w:spacing w:line="240" w:lineRule="auto"/>
    </w:pPr>
  </w:style>
  <w:style w:type="character" w:customStyle="1" w:styleId="HeaderChar">
    <w:name w:val="Header Char"/>
    <w:basedOn w:val="DefaultParagraphFont"/>
    <w:link w:val="Header"/>
    <w:uiPriority w:val="99"/>
    <w:rsid w:val="00AA7DCB"/>
    <w:rPr>
      <w:rFonts w:ascii="Arial" w:hAnsi="Arial" w:cs="Arial"/>
      <w:sz w:val="21"/>
      <w:szCs w:val="21"/>
    </w:rPr>
  </w:style>
  <w:style w:type="table" w:styleId="TableGrid">
    <w:name w:val="Table Grid"/>
    <w:basedOn w:val="TableNormal"/>
    <w:uiPriority w:val="59"/>
    <w:rsid w:val="00D11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9096E"/>
    <w:rPr>
      <w:sz w:val="16"/>
      <w:szCs w:val="16"/>
    </w:rPr>
  </w:style>
  <w:style w:type="paragraph" w:styleId="CommentText">
    <w:name w:val="annotation text"/>
    <w:basedOn w:val="Normal"/>
    <w:link w:val="CommentTextChar"/>
    <w:uiPriority w:val="99"/>
    <w:unhideWhenUsed/>
    <w:rsid w:val="0029096E"/>
    <w:pPr>
      <w:spacing w:line="240" w:lineRule="auto"/>
    </w:pPr>
    <w:rPr>
      <w:sz w:val="20"/>
      <w:szCs w:val="20"/>
    </w:rPr>
  </w:style>
  <w:style w:type="character" w:customStyle="1" w:styleId="CommentTextChar">
    <w:name w:val="Comment Text Char"/>
    <w:basedOn w:val="DefaultParagraphFont"/>
    <w:link w:val="CommentText"/>
    <w:uiPriority w:val="99"/>
    <w:rsid w:val="0029096E"/>
    <w:rPr>
      <w:rFonts w:cs="Arial"/>
      <w:sz w:val="20"/>
      <w:szCs w:val="20"/>
    </w:rPr>
  </w:style>
  <w:style w:type="paragraph" w:styleId="CommentSubject">
    <w:name w:val="annotation subject"/>
    <w:basedOn w:val="CommentText"/>
    <w:next w:val="CommentText"/>
    <w:link w:val="CommentSubjectChar"/>
    <w:uiPriority w:val="99"/>
    <w:semiHidden/>
    <w:unhideWhenUsed/>
    <w:rsid w:val="0029096E"/>
    <w:rPr>
      <w:b/>
      <w:bCs/>
    </w:rPr>
  </w:style>
  <w:style w:type="character" w:customStyle="1" w:styleId="CommentSubjectChar">
    <w:name w:val="Comment Subject Char"/>
    <w:basedOn w:val="CommentTextChar"/>
    <w:link w:val="CommentSubject"/>
    <w:uiPriority w:val="99"/>
    <w:semiHidden/>
    <w:rsid w:val="0029096E"/>
    <w:rPr>
      <w:rFonts w:cs="Arial"/>
      <w:b/>
      <w:bCs/>
      <w:sz w:val="20"/>
      <w:szCs w:val="20"/>
    </w:rPr>
  </w:style>
  <w:style w:type="paragraph" w:styleId="Revision">
    <w:name w:val="Revision"/>
    <w:hidden/>
    <w:uiPriority w:val="99"/>
    <w:semiHidden/>
    <w:rsid w:val="00257EF7"/>
    <w:rPr>
      <w:rFonts w:cs="Arial"/>
      <w:sz w:val="22"/>
      <w:szCs w:val="21"/>
    </w:rPr>
  </w:style>
  <w:style w:type="character" w:styleId="Hyperlink">
    <w:name w:val="Hyperlink"/>
    <w:basedOn w:val="DefaultParagraphFont"/>
    <w:uiPriority w:val="99"/>
    <w:unhideWhenUsed/>
    <w:rsid w:val="008F00E1"/>
    <w:rPr>
      <w:color w:val="165C7D" w:themeColor="hyperlink"/>
      <w:u w:val="single"/>
    </w:rPr>
  </w:style>
  <w:style w:type="character" w:customStyle="1" w:styleId="UnresolvedMention1">
    <w:name w:val="Unresolved Mention1"/>
    <w:basedOn w:val="DefaultParagraphFont"/>
    <w:uiPriority w:val="99"/>
    <w:semiHidden/>
    <w:unhideWhenUsed/>
    <w:rsid w:val="008F00E1"/>
    <w:rPr>
      <w:color w:val="605E5C"/>
      <w:shd w:val="clear" w:color="auto" w:fill="E1DFDD"/>
    </w:rPr>
  </w:style>
  <w:style w:type="character" w:styleId="FollowedHyperlink">
    <w:name w:val="FollowedHyperlink"/>
    <w:basedOn w:val="DefaultParagraphFont"/>
    <w:uiPriority w:val="99"/>
    <w:semiHidden/>
    <w:unhideWhenUsed/>
    <w:rsid w:val="00A969AD"/>
    <w:rPr>
      <w:color w:val="165C7D" w:themeColor="followedHyperlink"/>
      <w:u w:val="single"/>
    </w:rPr>
  </w:style>
  <w:style w:type="character" w:customStyle="1" w:styleId="Mention1">
    <w:name w:val="Mention1"/>
    <w:basedOn w:val="DefaultParagraphFont"/>
    <w:uiPriority w:val="99"/>
    <w:semiHidden/>
    <w:unhideWhenUsed/>
    <w:rsid w:val="002E4894"/>
    <w:rPr>
      <w:color w:val="2B579A"/>
      <w:shd w:val="clear" w:color="auto" w:fill="E6E6E6"/>
    </w:rPr>
  </w:style>
  <w:style w:type="character" w:customStyle="1" w:styleId="UnresolvedMention2">
    <w:name w:val="Unresolved Mention2"/>
    <w:basedOn w:val="DefaultParagraphFont"/>
    <w:uiPriority w:val="99"/>
    <w:semiHidden/>
    <w:unhideWhenUsed/>
    <w:rsid w:val="00AD7C12"/>
    <w:rPr>
      <w:color w:val="605E5C"/>
      <w:shd w:val="clear" w:color="auto" w:fill="E1DFDD"/>
    </w:rPr>
  </w:style>
  <w:style w:type="character" w:styleId="Strong">
    <w:name w:val="Strong"/>
    <w:basedOn w:val="DefaultParagraphFont"/>
    <w:uiPriority w:val="22"/>
    <w:qFormat/>
    <w:rsid w:val="00737DF5"/>
    <w:rPr>
      <w:b/>
      <w:bCs/>
    </w:rPr>
  </w:style>
  <w:style w:type="character" w:customStyle="1" w:styleId="UnresolvedMention20">
    <w:name w:val="Unresolved Mention2"/>
    <w:basedOn w:val="DefaultParagraphFont"/>
    <w:uiPriority w:val="99"/>
    <w:semiHidden/>
    <w:unhideWhenUsed/>
    <w:rsid w:val="004501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971012">
      <w:bodyDiv w:val="1"/>
      <w:marLeft w:val="0"/>
      <w:marRight w:val="0"/>
      <w:marTop w:val="0"/>
      <w:marBottom w:val="0"/>
      <w:divBdr>
        <w:top w:val="none" w:sz="0" w:space="0" w:color="auto"/>
        <w:left w:val="none" w:sz="0" w:space="0" w:color="auto"/>
        <w:bottom w:val="none" w:sz="0" w:space="0" w:color="auto"/>
        <w:right w:val="none" w:sz="0" w:space="0" w:color="auto"/>
      </w:divBdr>
    </w:div>
    <w:div w:id="320547830">
      <w:bodyDiv w:val="1"/>
      <w:marLeft w:val="0"/>
      <w:marRight w:val="0"/>
      <w:marTop w:val="0"/>
      <w:marBottom w:val="0"/>
      <w:divBdr>
        <w:top w:val="none" w:sz="0" w:space="0" w:color="auto"/>
        <w:left w:val="none" w:sz="0" w:space="0" w:color="auto"/>
        <w:bottom w:val="none" w:sz="0" w:space="0" w:color="auto"/>
        <w:right w:val="none" w:sz="0" w:space="0" w:color="auto"/>
      </w:divBdr>
    </w:div>
    <w:div w:id="860776181">
      <w:bodyDiv w:val="1"/>
      <w:marLeft w:val="0"/>
      <w:marRight w:val="0"/>
      <w:marTop w:val="0"/>
      <w:marBottom w:val="0"/>
      <w:divBdr>
        <w:top w:val="none" w:sz="0" w:space="0" w:color="auto"/>
        <w:left w:val="none" w:sz="0" w:space="0" w:color="auto"/>
        <w:bottom w:val="none" w:sz="0" w:space="0" w:color="auto"/>
        <w:right w:val="none" w:sz="0" w:space="0" w:color="auto"/>
      </w:divBdr>
    </w:div>
    <w:div w:id="1447231784">
      <w:bodyDiv w:val="1"/>
      <w:marLeft w:val="0"/>
      <w:marRight w:val="0"/>
      <w:marTop w:val="0"/>
      <w:marBottom w:val="0"/>
      <w:divBdr>
        <w:top w:val="none" w:sz="0" w:space="0" w:color="auto"/>
        <w:left w:val="none" w:sz="0" w:space="0" w:color="auto"/>
        <w:bottom w:val="none" w:sz="0" w:space="0" w:color="auto"/>
        <w:right w:val="none" w:sz="0" w:space="0" w:color="auto"/>
      </w:divBdr>
    </w:div>
    <w:div w:id="1681934923">
      <w:bodyDiv w:val="1"/>
      <w:marLeft w:val="0"/>
      <w:marRight w:val="0"/>
      <w:marTop w:val="0"/>
      <w:marBottom w:val="0"/>
      <w:divBdr>
        <w:top w:val="none" w:sz="0" w:space="0" w:color="auto"/>
        <w:left w:val="none" w:sz="0" w:space="0" w:color="auto"/>
        <w:bottom w:val="none" w:sz="0" w:space="0" w:color="auto"/>
        <w:right w:val="none" w:sz="0" w:space="0" w:color="auto"/>
      </w:divBdr>
    </w:div>
    <w:div w:id="200150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ema.gov/media-library-data/1486472423990-f640b42b9073d78693795bb7da4a7af2/January2017FCD1.pdf" TargetMode="External"/><Relationship Id="rId18" Type="http://schemas.openxmlformats.org/officeDocument/2006/relationships/hyperlink" Target="https://www.fema.gov/media-library-data/1499702987348-c8eb5e5746bfc5a7a3cb954039df7fc2/FCD-2June132017.pdf" TargetMode="External"/><Relationship Id="rId26" Type="http://schemas.openxmlformats.org/officeDocument/2006/relationships/hyperlink" Target="https://www.osha.gov/SLTC/respiratoryprotection/index.html" TargetMode="External"/><Relationship Id="rId39" Type="http://schemas.openxmlformats.org/officeDocument/2006/relationships/hyperlink" Target="https://www.eeoc.gov/coronavirus" TargetMode="External"/><Relationship Id="rId3" Type="http://schemas.openxmlformats.org/officeDocument/2006/relationships/customXml" Target="../customXml/item3.xml"/><Relationship Id="rId21" Type="http://schemas.openxmlformats.org/officeDocument/2006/relationships/image" Target="media/image1.png"/><Relationship Id="rId34" Type="http://schemas.openxmlformats.org/officeDocument/2006/relationships/hyperlink" Target="https://www.ems.gov/pdf/preparedness/Resources/Pandemic_Influenza_Recommendations_For_911_And_PSAPS.pdf" TargetMode="External"/><Relationship Id="rId42" Type="http://schemas.openxmlformats.org/officeDocument/2006/relationships/header" Target="header1.xml"/><Relationship Id="rId47" Type="http://schemas.openxmlformats.org/officeDocument/2006/relationships/footer" Target="footer4.xml"/><Relationship Id="rId50"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hyperlink" Target="https://www.fema.gov/media-library-data/1486472423990-f640b42b9073d78693795bb7da4a7af2/January2017FCD1.pdf" TargetMode="External"/><Relationship Id="rId25" Type="http://schemas.openxmlformats.org/officeDocument/2006/relationships/hyperlink" Target="https://www.cdc.gov/coronavirus/2019-ncov/prevent-getting-sick/diy-cloth-face-coverings.html" TargetMode="External"/><Relationship Id="rId33" Type="http://schemas.openxmlformats.org/officeDocument/2006/relationships/hyperlink" Target="https://www.cdc.gov/coronavirus/2019-ncov/hcp/guidance-for-ems.html" TargetMode="External"/><Relationship Id="rId38" Type="http://schemas.openxmlformats.org/officeDocument/2006/relationships/hyperlink" Target="http://www.nasna911.org/current-issues" TargetMode="External"/><Relationship Id="rId46"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nena.org/resource/resmgr/standards/nena-inf-017.3-2018_disaster.pdf" TargetMode="External"/><Relationship Id="rId20" Type="http://schemas.openxmlformats.org/officeDocument/2006/relationships/hyperlink" Target="https://www.nena.org/resource/resmgr/standards/nena-inf-017.3-2018_disaster.pdf" TargetMode="External"/><Relationship Id="rId29" Type="http://schemas.openxmlformats.org/officeDocument/2006/relationships/hyperlink" Target="http://www.nasna911.org/state-911-contacts" TargetMode="External"/><Relationship Id="rId41" Type="http://schemas.openxmlformats.org/officeDocument/2006/relationships/hyperlink" Target="https://shared.outlook.inky.com/link?domain=gcc01.safelinks.protection.outlook.com&amp;t=eyJ0eXAiOiJKV1QiLCJhbGciOiJFUzI1NiJ9.eJxFkmuL4jAUhv9LQT85NU1S2woy49gK66pdZp0ZK4LEJL1o2pQ2rZdl__umM8JCEjicS568b_4YipM8Y8bYyGnpWZYxMLJC8aogwhjHRNR8YHCdFaSpMm7GgqS8UrcXJpWZyFaXd73_o6bSfUaqVFmP98P9MKEUWGZNYi6y4lybZSUVpyqThSkbJaQ8m1Tm--Gzbpx8tfXQtAfnel0uF5PnvEp4QW8sq0uiaGrKKtG5Wfjxw3-yvKeZzPOmyCjpRtZ9RhSZANhzZsDSx_Kbev6g7mHwINU5BCzsWZx6lBwxhBgQ1wUucziDHmIu0iUUUwaxfcQ4Bhh5NrEIQS52GbTd2HGP3TWPPUIORO4IoZEHwMj2HLdff8EsWufcFtDW0B-vfmArpKS_DdryPM-q5a_f3Wvg4k2F8ueIi1UP-f2K17xqOZsALWj4boyLRoiBodKKE3UQvOVaY0sb1Ul__Fxfwk1wXcJURNs3udsuVARZust35fH8qiI0tVeboImgp5b3xSm6BzqeWqE_va78KV7579fVaZGFfnBd5_N0t4nA7pRclvdA1yS39YmCtZ80esak81ejHXhOMnEgjGnSurNbc2mBc5qQOM6Kl--v1Blr_P0HSkbEEQ.MEUCIG-zqnaM6-HjGQQqZBas2j-F84RTJ8l4Srs6TGeeZUCfAiEA_k5DqIq_fDZ6iZwPk-Jyf4nkV_IYp4afcSqIXf53C0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cdc.gov/coronavirus/2019-ncov/hcp/using-ppe.html" TargetMode="External"/><Relationship Id="rId32" Type="http://schemas.openxmlformats.org/officeDocument/2006/relationships/hyperlink" Target="https://www.fema.gov/emergency-management-agencies" TargetMode="External"/><Relationship Id="rId37" Type="http://schemas.openxmlformats.org/officeDocument/2006/relationships/hyperlink" Target="https://www.apcointl.org/resources/911-info/information-on-covid-19-for-emergency-communications-centers/" TargetMode="External"/><Relationship Id="rId40" Type="http://schemas.openxmlformats.org/officeDocument/2006/relationships/hyperlink" Target="https://www.osha.gov/SLTC/covid-19/standards.html" TargetMode="External"/><Relationship Id="rId45"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nfpa.org/assets/files/AboutTheCodes/1600/1600-13-PDF.pdf" TargetMode="External"/><Relationship Id="rId23" Type="http://schemas.openxmlformats.org/officeDocument/2006/relationships/hyperlink" Target="https://www.cdc.gov/coronavirus/2019-ncov/symptoms-testing/testing.html" TargetMode="External"/><Relationship Id="rId28" Type="http://schemas.openxmlformats.org/officeDocument/2006/relationships/hyperlink" Target="https://www.coronavirus.gov/" TargetMode="External"/><Relationship Id="rId36" Type="http://schemas.openxmlformats.org/officeDocument/2006/relationships/hyperlink" Target="https://www.nena.org/page/covid19" TargetMode="External"/><Relationship Id="rId49"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www.nfpa.org/assets/files/AboutTheCodes/1600/1600-13-PDF.pdf" TargetMode="External"/><Relationship Id="rId31" Type="http://schemas.openxmlformats.org/officeDocument/2006/relationships/hyperlink" Target="https://www.cdc.gov/publichealthgateway/healthdirectories/healthdepartments.html"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ema.gov/media-library-data/1499702987348-c8eb5e5746bfc5a7a3cb954039df7fc2/FCD-2June132017.pdf" TargetMode="External"/><Relationship Id="rId22" Type="http://schemas.openxmlformats.org/officeDocument/2006/relationships/image" Target="media/image2.png"/><Relationship Id="rId27" Type="http://schemas.openxmlformats.org/officeDocument/2006/relationships/hyperlink" Target="https://www.ready.gov/sites/default/files/documents/files/RRToolkit.pdf" TargetMode="External"/><Relationship Id="rId30" Type="http://schemas.openxmlformats.org/officeDocument/2006/relationships/hyperlink" Target="https://nasemso.org/about/state-agencies/" TargetMode="External"/><Relationship Id="rId35" Type="http://schemas.openxmlformats.org/officeDocument/2006/relationships/hyperlink" Target="https://www.911.gov/project_coronavirus_covid-19_resources.html"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settings" Target="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www.ems.gov/pdf/Federal_Guidance_and_Resources/Operations/911_and_EMS_Algorithms.pdf" TargetMode="External"/><Relationship Id="rId3" Type="http://schemas.openxmlformats.org/officeDocument/2006/relationships/hyperlink" Target="https://www.eeoc.gov/facts/pandemic_flu.html" TargetMode="External"/><Relationship Id="rId7" Type="http://schemas.openxmlformats.org/officeDocument/2006/relationships/hyperlink" Target="https://www.cdc.gov/coronavirus/2019-ncov/prepare/cleaning-disinfection.html?CDC_AA_refVal=https%3A%2F%2Fwww.cdc.gov%2Fcoronavirus%2F2019-ncov%2Fcommunity%2Fhome%2Fcleaning-disinfection.html" TargetMode="External"/><Relationship Id="rId2" Type="http://schemas.openxmlformats.org/officeDocument/2006/relationships/hyperlink" Target="https://www.cdc.gov/flu/pandemic-resources/1918-commemoration/three-waves.htm" TargetMode="External"/><Relationship Id="rId1" Type="http://schemas.openxmlformats.org/officeDocument/2006/relationships/hyperlink" Target="https://www.cdc.gov/mmwr/preview/mmwrhtml/rr6306a1.htm" TargetMode="External"/><Relationship Id="rId6" Type="http://schemas.openxmlformats.org/officeDocument/2006/relationships/hyperlink" Target="https://cdn.ymaws.com/www.nena.org/resource/resmgr/covid/91103_Inovative_call_handlin.pdf" TargetMode="External"/><Relationship Id="rId5" Type="http://schemas.openxmlformats.org/officeDocument/2006/relationships/hyperlink" Target="https://www.hhs.gov/hipaa/for-professionals/privacy/laws-regulations/index.html" TargetMode="External"/><Relationship Id="rId4" Type="http://schemas.openxmlformats.org/officeDocument/2006/relationships/hyperlink" Target="https://www.osha.gov/pls/oshaweb/owadisp.show_document?p_id=12716&amp;p_table=STANDARDS"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B4437C12668463386EEB78B8E32A429"/>
        <w:category>
          <w:name w:val="General"/>
          <w:gallery w:val="placeholder"/>
        </w:category>
        <w:types>
          <w:type w:val="bbPlcHdr"/>
        </w:types>
        <w:behaviors>
          <w:behavior w:val="content"/>
        </w:behaviors>
        <w:guid w:val="{B9BBE7A6-C423-4C3E-8A44-EB29EAC83D08}"/>
      </w:docPartPr>
      <w:docPartBody>
        <w:p w:rsidR="008A3D8A" w:rsidRDefault="00A16775" w:rsidP="00A16775">
          <w:pPr>
            <w:pStyle w:val="AB4437C12668463386EEB78B8E32A429"/>
          </w:pPr>
          <w:r w:rsidRPr="003A4AA9">
            <w:rPr>
              <w:b/>
              <w:bCs/>
              <w:color w:val="4F81BD" w:themeColor="accent1"/>
              <w:sz w:val="36"/>
              <w:szCs w:val="36"/>
            </w:rPr>
            <w:t xml:space="preserve">Agency Name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Univers-Bold">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6D0"/>
    <w:rsid w:val="00013F68"/>
    <w:rsid w:val="00036A5D"/>
    <w:rsid w:val="00056DAC"/>
    <w:rsid w:val="000729C6"/>
    <w:rsid w:val="000C5313"/>
    <w:rsid w:val="0015320D"/>
    <w:rsid w:val="0015709D"/>
    <w:rsid w:val="00192819"/>
    <w:rsid w:val="001D0A8B"/>
    <w:rsid w:val="00256969"/>
    <w:rsid w:val="00266263"/>
    <w:rsid w:val="002C620A"/>
    <w:rsid w:val="004514D8"/>
    <w:rsid w:val="00453A31"/>
    <w:rsid w:val="004D1445"/>
    <w:rsid w:val="00590F35"/>
    <w:rsid w:val="005C4EBC"/>
    <w:rsid w:val="00657B23"/>
    <w:rsid w:val="006B77EE"/>
    <w:rsid w:val="006F2FA2"/>
    <w:rsid w:val="006F4F6C"/>
    <w:rsid w:val="007A041E"/>
    <w:rsid w:val="00830764"/>
    <w:rsid w:val="008A3D8A"/>
    <w:rsid w:val="008C3C8E"/>
    <w:rsid w:val="00910466"/>
    <w:rsid w:val="009810CE"/>
    <w:rsid w:val="009A188E"/>
    <w:rsid w:val="009E5C4F"/>
    <w:rsid w:val="009E728F"/>
    <w:rsid w:val="00A04F21"/>
    <w:rsid w:val="00A16775"/>
    <w:rsid w:val="00A6300F"/>
    <w:rsid w:val="00B1477B"/>
    <w:rsid w:val="00B663E9"/>
    <w:rsid w:val="00BC664B"/>
    <w:rsid w:val="00BD68C9"/>
    <w:rsid w:val="00C50800"/>
    <w:rsid w:val="00CA6610"/>
    <w:rsid w:val="00D026D0"/>
    <w:rsid w:val="00D658C0"/>
    <w:rsid w:val="00E0747B"/>
    <w:rsid w:val="00E3453A"/>
    <w:rsid w:val="00E83176"/>
    <w:rsid w:val="00E91B3F"/>
    <w:rsid w:val="00F633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E65DEB3AC3A44C8BBC7771CCD07DC39">
    <w:name w:val="5E65DEB3AC3A44C8BBC7771CCD07DC39"/>
    <w:rsid w:val="00D026D0"/>
  </w:style>
  <w:style w:type="paragraph" w:customStyle="1" w:styleId="1F397B8A061149FB8719A314E14CBCE1">
    <w:name w:val="1F397B8A061149FB8719A314E14CBCE1"/>
    <w:rsid w:val="00D026D0"/>
  </w:style>
  <w:style w:type="paragraph" w:customStyle="1" w:styleId="AB4437C12668463386EEB78B8E32A429">
    <w:name w:val="AB4437C12668463386EEB78B8E32A429"/>
    <w:rsid w:val="00A1677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E65DEB3AC3A44C8BBC7771CCD07DC39">
    <w:name w:val="5E65DEB3AC3A44C8BBC7771CCD07DC39"/>
    <w:rsid w:val="00D026D0"/>
  </w:style>
  <w:style w:type="paragraph" w:customStyle="1" w:styleId="1F397B8A061149FB8719A314E14CBCE1">
    <w:name w:val="1F397B8A061149FB8719A314E14CBCE1"/>
    <w:rsid w:val="00D026D0"/>
  </w:style>
  <w:style w:type="paragraph" w:customStyle="1" w:styleId="AB4437C12668463386EEB78B8E32A429">
    <w:name w:val="AB4437C12668463386EEB78B8E32A429"/>
    <w:rsid w:val="00A167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CP Report">
  <a:themeElements>
    <a:clrScheme name="MCP Custom Pallet">
      <a:dk1>
        <a:sysClr val="windowText" lastClr="000000"/>
      </a:dk1>
      <a:lt1>
        <a:sysClr val="window" lastClr="FFFFFF"/>
      </a:lt1>
      <a:dk2>
        <a:srgbClr val="5D5E5E"/>
      </a:dk2>
      <a:lt2>
        <a:srgbClr val="E3E4E4"/>
      </a:lt2>
      <a:accent1>
        <a:srgbClr val="A6192E"/>
      </a:accent1>
      <a:accent2>
        <a:srgbClr val="BBBCBC"/>
      </a:accent2>
      <a:accent3>
        <a:srgbClr val="3EB1C8"/>
      </a:accent3>
      <a:accent4>
        <a:srgbClr val="165C7D"/>
      </a:accent4>
      <a:accent5>
        <a:srgbClr val="F1B434"/>
      </a:accent5>
      <a:accent6>
        <a:srgbClr val="FFFFFF"/>
      </a:accent6>
      <a:hlink>
        <a:srgbClr val="165C7D"/>
      </a:hlink>
      <a:folHlink>
        <a:srgbClr val="165C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ln>
          <a:noFill/>
        </a:ln>
        <a:effectLst/>
        <a:extLst>
          <a:ext uri="{C572A759-6A51-4108-AA02-DFA0A04FC94B}">
            <ma14:wrappingTextBoxFlag xmlns:ma14="http://schemas.microsoft.com/office/mac/drawingml/2011/main" xmlns=""/>
          </a:ext>
        </a:ex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963265BB0483459597C0092B25CB59" ma:contentTypeVersion="7" ma:contentTypeDescription="Create a new document." ma:contentTypeScope="" ma:versionID="1a7a5f602114f31fe7a1adf0b4ef49c8">
  <xsd:schema xmlns:xsd="http://www.w3.org/2001/XMLSchema" xmlns:xs="http://www.w3.org/2001/XMLSchema" xmlns:p="http://schemas.microsoft.com/office/2006/metadata/properties" xmlns:ns3="e87e1963-818e-452b-902d-58ee83e56c6f" targetNamespace="http://schemas.microsoft.com/office/2006/metadata/properties" ma:root="true" ma:fieldsID="ea7b6dd46e029a35071e775a752efa1b" ns3:_="">
    <xsd:import namespace="e87e1963-818e-452b-902d-58ee83e56c6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7e1963-818e-452b-902d-58ee83e56c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069EA-5648-4E3A-B220-8ACB4E15B5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7e1963-818e-452b-902d-58ee83e56c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A58DF8-9962-4B5A-B48D-6B9BB52F2D0F}">
  <ds:schemaRefs>
    <ds:schemaRef ds:uri="http://schemas.microsoft.com/sharepoint/v3/contenttype/forms"/>
  </ds:schemaRefs>
</ds:datastoreItem>
</file>

<file path=customXml/itemProps3.xml><?xml version="1.0" encoding="utf-8"?>
<ds:datastoreItem xmlns:ds="http://schemas.openxmlformats.org/officeDocument/2006/customXml" ds:itemID="{DC6F99E0-8AD8-42BB-97DE-D0A02EFBF0E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F7851E0-E19D-4DC9-B00A-8EF845B06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28</Pages>
  <Words>7024</Words>
  <Characters>40042</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Bozicovich, Karen</dc:creator>
  <cp:lastModifiedBy>%kbozicovich%</cp:lastModifiedBy>
  <cp:revision>4</cp:revision>
  <cp:lastPrinted>2020-05-07T20:50:00Z</cp:lastPrinted>
  <dcterms:created xsi:type="dcterms:W3CDTF">2020-07-25T00:02:00Z</dcterms:created>
  <dcterms:modified xsi:type="dcterms:W3CDTF">2020-07-27T16:04:00Z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0x010100BA963265BB0483459597C0092B25CB59</vt:lpwstr>
  </property>
</Properties>
</file>